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before="1320" w:line="355" w:lineRule="auto" w:after="160"/>
        <w:jc w:val="center"/>
      </w:pPr>
      <w:r>
        <w:rPr>
          <w:rFonts w:ascii="Malgun Gothic" w:hAnsi="Malgun Gothic" w:eastAsia="Malgun Gothic"/>
          <w:b/>
          <w:color w:val="2D6A4F"/>
          <w:sz w:val="28"/>
        </w:rPr>
        <w:t>울산 경남 이주민 선교사 좌담회</w:t>
      </w:r>
    </w:p>
    <w:p>
      <w:pPr>
        <w:pStyle w:val="Title"/>
        <w:keepNext/>
        <w:jc w:val="center"/>
      </w:pPr>
      <w:r>
        <w:rPr>
          <w:rFonts w:ascii="Malgun Gothic" w:hAnsi="Malgun Gothic" w:eastAsia="Malgun Gothic"/>
          <w:b/>
          <w:color w:val="000000"/>
          <w:sz w:val="54"/>
        </w:rPr>
        <w:t>이주민 선교의 문제와 방향 및 실행 대안</w:t>
      </w:r>
    </w:p>
    <w:p>
      <w:pPr>
        <w:widowControl/>
        <w:spacing w:before="160" w:line="355" w:lineRule="auto" w:after="160"/>
        <w:jc w:val="center"/>
      </w:pPr>
      <w:r>
        <w:rPr>
          <w:rFonts w:ascii="Malgun Gothic" w:hAnsi="Malgun Gothic" w:eastAsia="Malgun Gothic"/>
          <w:color w:val="586371"/>
          <w:sz w:val="28"/>
        </w:rPr>
        <w:t>현장 발언 분석에서 디지털 협력 인프라 구축까지</w:t>
      </w:r>
    </w:p>
    <w:p>
      <w:pPr>
        <w:widowControl/>
        <w:spacing w:before="2100" w:line="355" w:lineRule="auto" w:after="160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97"/>
        <w:gridCol w:w="4997"/>
      </w:tblGrid>
      <w:tr>
        <w:trPr>
          <w:tblHeader w:val="true"/>
          <w:cantSplit/>
        </w:trPr>
        <w:tc>
          <w:tcPr>
            <w:tcW w:type="dxa" w:w="1800"/>
            <w:shd w:fill="0F20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b/>
                <w:color w:val="FFFFFF"/>
                <w:sz w:val="22"/>
              </w:rPr>
              <w:t>구분</w:t>
            </w:r>
          </w:p>
        </w:tc>
        <w:tc>
          <w:tcPr>
            <w:tcW w:type="dxa" w:w="8136"/>
            <w:shd w:fill="0F20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b/>
                <w:color w:val="FFFFFF"/>
                <w:sz w:val="22"/>
              </w:rPr>
              <w:t>내용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문서 성격</w:t>
            </w:r>
          </w:p>
        </w:tc>
        <w:tc>
          <w:tcPr>
            <w:tcW w:type="dxa" w:w="813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좌담회 결과를 공동 실행으로 연결하기 위한 전략보고서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제안 주체</w:t>
            </w:r>
          </w:p>
        </w:tc>
        <w:tc>
          <w:tcPr>
            <w:tcW w:type="dxa" w:w="813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엘림G브릿지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작성</w:t>
            </w:r>
          </w:p>
        </w:tc>
        <w:tc>
          <w:tcPr>
            <w:tcW w:type="dxa" w:w="813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한진준 목사  부산남부노회 고신 이주민선교사  엘림G선교회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근거 자료</w:t>
            </w:r>
          </w:p>
        </w:tc>
        <w:tc>
          <w:tcPr>
            <w:tcW w:type="dxa" w:w="813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좌담회 현장 발언  현장 사진  카카오톡 후기  참여자 제출 정보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작성 기준일</w:t>
            </w:r>
          </w:p>
        </w:tc>
        <w:tc>
          <w:tcPr>
            <w:tcW w:type="dxa" w:w="813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2026년 9월 21일</w:t>
            </w:r>
          </w:p>
        </w:tc>
      </w:tr>
    </w:tbl>
    <w:p>
      <w:pPr>
        <w:widowControl/>
        <w:spacing w:after="160" w:line="355" w:lineRule="auto"/>
      </w:pPr>
    </w:p>
    <w:p>
      <w:pPr>
        <w:widowControl/>
        <w:spacing w:line="355" w:lineRule="auto" w:after="160"/>
        <w:jc w:val="center"/>
      </w:pPr>
      <w:r>
        <w:rPr>
          <w:rFonts w:ascii="Malgun Gothic" w:hAnsi="Malgun Gothic" w:eastAsia="Malgun Gothic"/>
          <w:b/>
          <w:color w:val="2D6A4F"/>
          <w:sz w:val="24"/>
        </w:rPr>
        <w:t>핵심 결론</w:t>
      </w:r>
    </w:p>
    <w:p>
      <w:pPr>
        <w:widowControl/>
        <w:spacing w:line="355" w:lineRule="auto" w:after="160"/>
        <w:ind w:left="936" w:right="936"/>
        <w:jc w:val="center"/>
      </w:pPr>
      <w:r>
        <w:rPr>
          <w:rFonts w:ascii="Malgun Gothic" w:hAnsi="Malgun Gothic" w:eastAsia="Malgun Gothic"/>
          <w:b/>
          <w:color w:val="1F2937"/>
          <w:sz w:val="24"/>
        </w:rPr>
        <w:t>개별 사역을 하나로 합치는 것이 아니라, 서로의 전문성과 현장을 존중하면서 필요한 순간에 정확히 연결되는 협력망을 세워야 합니다.</w:t>
      </w:r>
    </w:p>
    <w:p>
      <w:pPr>
        <w:widowControl/>
        <w:spacing w:line="355" w:lineRule="auto" w:after="160"/>
      </w:pPr>
      <w:r>
        <w:rPr>
          <w:rFonts w:ascii="Malgun Gothic" w:hAnsi="Malgun Gothic" w:eastAsia="Malgun Gothic"/>
          <w:color w:val="1F2937"/>
          <w:sz w:val="24"/>
        </w:rPr>
        <w:br w:type="page"/>
      </w:r>
    </w:p>
    <w:p>
      <w:pPr>
        <w:pStyle w:val="Heading1"/>
        <w:keepNext/>
      </w:pPr>
      <w:r>
        <w:rPr>
          <w:rFonts w:ascii="Malgun Gothic" w:hAnsi="Malgun Gothic" w:eastAsia="Malgun Gothic"/>
          <w:b/>
          <w:color w:val="000000"/>
          <w:sz w:val="38"/>
        </w:rPr>
        <w:t>보고서 요약</w:t>
      </w:r>
    </w:p>
    <w:p>
      <w:pPr>
        <w:keepNext/>
        <w:widowControl/>
        <w:spacing w:after="160" w:line="355" w:lineRule="auto"/>
      </w:pPr>
      <w:r>
        <w:rPr>
          <w:rFonts w:ascii="Malgun Gothic" w:hAnsi="Malgun Gothic" w:eastAsia="Malgun Gothic"/>
          <w:color w:val="1F2937"/>
          <w:sz w:val="24"/>
        </w:rPr>
        <w:t>이 보고서는 좌담회에서 드러난 현장 문제를 원인별로 분석하고, 울산·경남의 교회·센터·기업·대학·행정·전문가를 연결하는 실행 구조를 제안합니다. 가장 중요한 과제는 프로그램을 늘리는 것이 아니라, 흩어진 사람과 정보와 자원을 정확하게 연결하여 한 사람의 정착과 제자화가 끊기지 않게 만드는 것입니다.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rPr>
          <w:tblHeader w:val="true"/>
          <w:cantSplit/>
        </w:trPr>
        <w:tc>
          <w:tcPr>
            <w:tcW w:type="dxa" w:w="1728"/>
            <w:shd w:fill="0F20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b/>
                <w:color w:val="FFFFFF"/>
                <w:sz w:val="22"/>
              </w:rPr>
              <w:t>핵심 문제</w:t>
            </w:r>
          </w:p>
        </w:tc>
        <w:tc>
          <w:tcPr>
            <w:tcW w:type="dxa" w:w="4752"/>
            <w:shd w:fill="0F20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b/>
                <w:color w:val="FFFFFF"/>
                <w:sz w:val="22"/>
              </w:rPr>
              <w:t>현재 나타나는 현상</w:t>
            </w:r>
          </w:p>
        </w:tc>
        <w:tc>
          <w:tcPr>
            <w:tcW w:type="dxa" w:w="3528"/>
            <w:shd w:fill="0F20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b/>
                <w:color w:val="FFFFFF"/>
                <w:sz w:val="22"/>
              </w:rPr>
              <w:t>우선 방향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사역의 고립</w:t>
            </w:r>
          </w:p>
        </w:tc>
        <w:tc>
          <w:tcPr>
            <w:tcW w:type="dxa" w:w="475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한 사역자가 상담·비자·취업·교육·예배를 모두 감당함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지역별 연결망과 공동 돌봄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연결 단절</w:t>
            </w:r>
          </w:p>
        </w:tc>
        <w:tc>
          <w:tcPr>
            <w:tcW w:type="dxa" w:w="475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한국어교실·생활지원 이후 예배·양육으로 이어지지 않음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관계–복음–양육–리더십의 연속 과정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정보 분산</w:t>
            </w:r>
          </w:p>
        </w:tc>
        <w:tc>
          <w:tcPr>
            <w:tcW w:type="dxa" w:w="475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기관·교재·전문가 정보가 개인 휴대전화와 단체방에 흩어짐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모바일 자원지도와 디지털 아카이브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행정 장벽</w:t>
            </w:r>
          </w:p>
        </w:tc>
        <w:tc>
          <w:tcPr>
            <w:tcW w:type="dxa" w:w="475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비자·체류·고용·교단 절차가 사역을 중단시킴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검증된 행정 지원 창구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이주민 수동화</w:t>
            </w:r>
          </w:p>
        </w:tc>
        <w:tc>
          <w:tcPr>
            <w:tcW w:type="dxa" w:w="475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이주민이 도움을 받는 대상에 머무름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현지인 리더 양성과 역파송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다음세대 공백</w:t>
            </w:r>
          </w:p>
        </w:tc>
        <w:tc>
          <w:tcPr>
            <w:tcW w:type="dxa" w:w="475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언어·정체성·학습·신앙 문제가 분리되어 다뤄짐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가정–교회–학교 통합 돌봄</w:t>
            </w:r>
          </w:p>
        </w:tc>
      </w:tr>
    </w:tbl>
    <w:p>
      <w:pPr>
        <w:widowControl/>
        <w:spacing w:after="160" w:line="355" w:lineRule="auto"/>
      </w:pPr>
    </w:p>
    <w:p>
      <w:pPr>
        <w:pStyle w:val="Heading2"/>
        <w:keepNext/>
      </w:pPr>
      <w:r>
        <w:rPr>
          <w:rFonts w:ascii="Malgun Gothic" w:hAnsi="Malgun Gothic" w:eastAsia="Malgun Gothic"/>
          <w:b/>
          <w:color w:val="000000"/>
          <w:sz w:val="30"/>
        </w:rPr>
        <w:t>제안하는 변화</w:t>
      </w:r>
    </w:p>
    <w:p>
      <w:pPr>
        <w:pStyle w:val="ListBullet"/>
        <w:widowControl/>
        <w:spacing w:after="100" w:line="331" w:lineRule="auto"/>
        <w:ind w:left="317" w:hanging="230"/>
      </w:pPr>
      <w:r>
        <w:rPr>
          <w:rFonts w:ascii="Malgun Gothic" w:hAnsi="Malgun Gothic" w:eastAsia="Malgun Gothic"/>
          <w:b/>
          <w:color w:val="1F2937"/>
          <w:sz w:val="24"/>
        </w:rPr>
        <w:t xml:space="preserve">사역 관점의 변화  </w:t>
      </w:r>
      <w:r>
        <w:rPr>
          <w:rFonts w:ascii="Malgun Gothic" w:hAnsi="Malgun Gothic" w:eastAsia="Malgun Gothic"/>
          <w:color w:val="1F2937"/>
          <w:sz w:val="24"/>
        </w:rPr>
        <w:t>지원 중심에서 관계·복음·제자화·리더십으로 나아갑니다.</w:t>
      </w:r>
    </w:p>
    <w:p>
      <w:pPr>
        <w:pStyle w:val="ListBullet"/>
        <w:widowControl/>
        <w:spacing w:after="100" w:line="331" w:lineRule="auto"/>
        <w:ind w:left="317" w:hanging="230"/>
      </w:pPr>
      <w:r>
        <w:rPr>
          <w:rFonts w:ascii="Malgun Gothic" w:hAnsi="Malgun Gothic" w:eastAsia="Malgun Gothic"/>
          <w:b/>
          <w:color w:val="1F2937"/>
          <w:sz w:val="24"/>
        </w:rPr>
        <w:t xml:space="preserve">운영 방식의 변화  </w:t>
      </w:r>
      <w:r>
        <w:rPr>
          <w:rFonts w:ascii="Malgun Gothic" w:hAnsi="Malgun Gothic" w:eastAsia="Malgun Gothic"/>
          <w:color w:val="1F2937"/>
          <w:sz w:val="24"/>
        </w:rPr>
        <w:t>개인 사역에서 지역 클러스터와 공동 프로젝트 방식으로 전환합니다.</w:t>
      </w:r>
    </w:p>
    <w:p>
      <w:pPr>
        <w:pStyle w:val="ListBullet"/>
        <w:widowControl/>
        <w:spacing w:after="100" w:line="331" w:lineRule="auto"/>
        <w:ind w:left="317" w:hanging="230"/>
      </w:pPr>
      <w:r>
        <w:rPr>
          <w:rFonts w:ascii="Malgun Gothic" w:hAnsi="Malgun Gothic" w:eastAsia="Malgun Gothic"/>
          <w:b/>
          <w:color w:val="1F2937"/>
          <w:sz w:val="24"/>
        </w:rPr>
        <w:t xml:space="preserve">정보 구조의 변화  </w:t>
      </w:r>
      <w:r>
        <w:rPr>
          <w:rFonts w:ascii="Malgun Gothic" w:hAnsi="Malgun Gothic" w:eastAsia="Malgun Gothic"/>
          <w:color w:val="1F2937"/>
          <w:sz w:val="24"/>
        </w:rPr>
        <w:t>단체방 중심 정보에서 검색 가능한 사람·기관·자료 데이터로 전환합니다.</w:t>
      </w:r>
    </w:p>
    <w:p>
      <w:pPr>
        <w:pStyle w:val="ListBullet"/>
        <w:widowControl/>
        <w:spacing w:after="100" w:line="331" w:lineRule="auto"/>
        <w:ind w:left="317" w:hanging="230"/>
      </w:pPr>
      <w:r>
        <w:rPr>
          <w:rFonts w:ascii="Malgun Gothic" w:hAnsi="Malgun Gothic" w:eastAsia="Malgun Gothic"/>
          <w:b/>
          <w:color w:val="1F2937"/>
          <w:sz w:val="24"/>
        </w:rPr>
        <w:t xml:space="preserve">리더십의 변화  </w:t>
      </w:r>
      <w:r>
        <w:rPr>
          <w:rFonts w:ascii="Malgun Gothic" w:hAnsi="Malgun Gothic" w:eastAsia="Malgun Gothic"/>
          <w:color w:val="1F2937"/>
          <w:sz w:val="24"/>
        </w:rPr>
        <w:t>한국인 중심 운영에서 이주민이 결정과 사역의 주체가 되는 구조로 전환합니다.</w:t>
      </w:r>
    </w:p>
    <w:p>
      <w:pPr>
        <w:pStyle w:val="ListBullet"/>
        <w:widowControl/>
        <w:spacing w:after="100" w:line="331" w:lineRule="auto"/>
        <w:ind w:left="317" w:hanging="230"/>
      </w:pPr>
      <w:r>
        <w:rPr>
          <w:rFonts w:ascii="Malgun Gothic" w:hAnsi="Malgun Gothic" w:eastAsia="Malgun Gothic"/>
          <w:b/>
          <w:color w:val="1F2937"/>
          <w:sz w:val="24"/>
        </w:rPr>
        <w:t xml:space="preserve">평가 방식의 변화  </w:t>
      </w:r>
      <w:r>
        <w:rPr>
          <w:rFonts w:ascii="Malgun Gothic" w:hAnsi="Malgun Gothic" w:eastAsia="Malgun Gothic"/>
          <w:color w:val="1F2937"/>
          <w:sz w:val="24"/>
        </w:rPr>
        <w:t>행사 인원보다 관계 지속, 양육 전환, 리더 배출, 협력 해결 사례를 평가합니다.</w:t>
      </w:r>
    </w:p>
    <w:p>
      <w:pPr>
        <w:pStyle w:val="Heading2"/>
        <w:keepNext/>
      </w:pPr>
      <w:r>
        <w:rPr>
          <w:rFonts w:ascii="Malgun Gothic" w:hAnsi="Malgun Gothic" w:eastAsia="Malgun Gothic"/>
          <w:b/>
          <w:color w:val="000000"/>
          <w:sz w:val="30"/>
        </w:rPr>
        <w:t>실행 우선순위</w:t>
      </w:r>
    </w:p>
    <w:p>
      <w:pPr>
        <w:pStyle w:val="ListNumber"/>
        <w:widowControl/>
        <w:spacing w:after="100" w:line="331" w:lineRule="auto"/>
      </w:pPr>
      <w:r>
        <w:rPr>
          <w:rFonts w:ascii="Malgun Gothic" w:hAnsi="Malgun Gothic" w:eastAsia="Malgun Gothic"/>
          <w:color w:val="1F2937"/>
          <w:sz w:val="24"/>
        </w:rPr>
        <w:t>참여자와 기관의 지역·언어·대상·전문성·연락 방법을 확인합니다.</w:t>
      </w:r>
    </w:p>
    <w:p>
      <w:pPr>
        <w:pStyle w:val="ListNumber"/>
        <w:widowControl/>
        <w:spacing w:after="100" w:line="331" w:lineRule="auto"/>
      </w:pPr>
      <w:r>
        <w:rPr>
          <w:rFonts w:ascii="Malgun Gothic" w:hAnsi="Malgun Gothic" w:eastAsia="Malgun Gothic"/>
          <w:color w:val="1F2937"/>
          <w:sz w:val="24"/>
        </w:rPr>
        <w:t>긴급한 비자·노동·의료·가정 문제를 연결할 담당 창구를 지정합니다.</w:t>
      </w:r>
    </w:p>
    <w:p>
      <w:pPr>
        <w:pStyle w:val="ListNumber"/>
        <w:widowControl/>
        <w:spacing w:after="100" w:line="331" w:lineRule="auto"/>
      </w:pPr>
      <w:r>
        <w:rPr>
          <w:rFonts w:ascii="Malgun Gothic" w:hAnsi="Malgun Gothic" w:eastAsia="Malgun Gothic"/>
          <w:color w:val="1F2937"/>
          <w:sz w:val="24"/>
        </w:rPr>
        <w:t>한국어교실과 예배·양육을 잇는 공통 안내 흐름을 만듭니다.</w:t>
      </w:r>
    </w:p>
    <w:p>
      <w:pPr>
        <w:pStyle w:val="ListNumber"/>
        <w:widowControl/>
        <w:spacing w:after="100" w:line="331" w:lineRule="auto"/>
      </w:pPr>
      <w:r>
        <w:rPr>
          <w:rFonts w:ascii="Malgun Gothic" w:hAnsi="Malgun Gothic" w:eastAsia="Malgun Gothic"/>
          <w:color w:val="1F2937"/>
          <w:sz w:val="24"/>
        </w:rPr>
        <w:t>엘림G브릿지 자원지도와 상세페이지를 실제 협력 요청 도구로 고도화합니다.</w:t>
      </w:r>
    </w:p>
    <w:p>
      <w:pPr>
        <w:pStyle w:val="ListNumber"/>
        <w:widowControl/>
        <w:spacing w:after="100" w:line="331" w:lineRule="auto"/>
      </w:pPr>
      <w:r>
        <w:rPr>
          <w:rFonts w:ascii="Malgun Gothic" w:hAnsi="Malgun Gothic" w:eastAsia="Malgun Gothic"/>
          <w:color w:val="1F2937"/>
          <w:sz w:val="24"/>
        </w:rPr>
        <w:t>90일 안에 작은 공동 프로젝트를 실행하고 결과를 기록합니다.</w:t>
      </w:r>
    </w:p>
    <w:p>
      <w:pPr>
        <w:widowControl/>
        <w:spacing w:line="355" w:lineRule="auto" w:after="160"/>
      </w:pPr>
      <w:r>
        <w:rPr>
          <w:rFonts w:ascii="Malgun Gothic" w:hAnsi="Malgun Gothic" w:eastAsia="Malgun Gothic"/>
          <w:color w:val="1F2937"/>
          <w:sz w:val="24"/>
        </w:rPr>
        <w:br w:type="page"/>
      </w:r>
    </w:p>
    <w:p>
      <w:pPr>
        <w:pStyle w:val="Heading1"/>
        <w:keepNext/>
      </w:pPr>
      <w:r>
        <w:rPr>
          <w:rFonts w:ascii="Malgun Gothic" w:hAnsi="Malgun Gothic" w:eastAsia="Malgun Gothic"/>
          <w:b/>
          <w:color w:val="000000"/>
          <w:sz w:val="38"/>
        </w:rPr>
        <w:t>1 좌담회를 통해 확인된 문제</w:t>
      </w:r>
    </w:p>
    <w:p>
      <w:pPr>
        <w:keepNext/>
        <w:widowControl/>
        <w:spacing w:after="160" w:line="355" w:lineRule="auto"/>
      </w:pPr>
      <w:r>
        <w:rPr>
          <w:rFonts w:ascii="Malgun Gothic" w:hAnsi="Malgun Gothic" w:eastAsia="Malgun Gothic"/>
          <w:color w:val="1F2937"/>
          <w:sz w:val="24"/>
        </w:rPr>
        <w:t>현장의 어려움은 사역자의 열심 부족에서 생기는 것이 아닙니다. 이주민의 삶은 언어·체류·노동·주거·가정·교육·신앙이 서로 얽혀 있지만, 사역 체계는 기관과 분야별로 나뉘어 있기 때문에 연결의 공백이 발생합니다.</w:t>
      </w:r>
    </w:p>
    <w:p>
      <w:pPr>
        <w:pStyle w:val="Heading2"/>
        <w:keepNext/>
      </w:pPr>
      <w:r>
        <w:rPr>
          <w:rFonts w:ascii="Malgun Gothic" w:hAnsi="Malgun Gothic" w:eastAsia="Malgun Gothic"/>
          <w:b/>
          <w:color w:val="000000"/>
          <w:sz w:val="30"/>
        </w:rPr>
        <w:t>1.1 사역자 고립과 소진</w:t>
      </w:r>
    </w:p>
    <w:p>
      <w:pPr>
        <w:pStyle w:val="ListBullet"/>
        <w:widowControl/>
        <w:spacing w:after="100" w:line="331" w:lineRule="auto"/>
        <w:ind w:left="317" w:hanging="230"/>
      </w:pPr>
      <w:r>
        <w:rPr>
          <w:rFonts w:ascii="Malgun Gothic" w:hAnsi="Malgun Gothic" w:eastAsia="Malgun Gothic"/>
          <w:color w:val="1F2937"/>
          <w:sz w:val="24"/>
        </w:rPr>
        <w:t>한 사람이 예배 인도, 통역, 상담, 차량 운행, 취업 소개, 비자 문의까지 감당합니다.</w:t>
      </w:r>
    </w:p>
    <w:p>
      <w:pPr>
        <w:pStyle w:val="ListBullet"/>
        <w:widowControl/>
        <w:spacing w:after="100" w:line="331" w:lineRule="auto"/>
        <w:ind w:left="317" w:hanging="230"/>
      </w:pPr>
      <w:r>
        <w:rPr>
          <w:rFonts w:ascii="Malgun Gothic" w:hAnsi="Malgun Gothic" w:eastAsia="Malgun Gothic"/>
          <w:color w:val="1F2937"/>
          <w:sz w:val="24"/>
        </w:rPr>
        <w:t>도움이 필요한 사례는 계속 들어오지만 의뢰할 전문기관과 담당자가 명확하지 않습니다.</w:t>
      </w:r>
    </w:p>
    <w:p>
      <w:pPr>
        <w:pStyle w:val="ListBullet"/>
        <w:widowControl/>
        <w:spacing w:after="100" w:line="331" w:lineRule="auto"/>
        <w:ind w:left="317" w:hanging="230"/>
      </w:pPr>
      <w:r>
        <w:rPr>
          <w:rFonts w:ascii="Malgun Gothic" w:hAnsi="Malgun Gothic" w:eastAsia="Malgun Gothic"/>
          <w:color w:val="1F2937"/>
          <w:sz w:val="24"/>
        </w:rPr>
        <w:t>휴식과 영적 돌봄이 부족하여 사역이 개인의 희생에 의존합니다.</w:t>
      </w:r>
    </w:p>
    <w:p>
      <w:pPr>
        <w:widowControl/>
        <w:spacing w:line="355" w:lineRule="auto" w:after="160"/>
      </w:pPr>
      <w:r>
        <w:rPr>
          <w:rFonts w:ascii="Malgun Gothic" w:hAnsi="Malgun Gothic" w:eastAsia="Malgun Gothic"/>
          <w:b/>
          <w:color w:val="2D6A4F"/>
          <w:sz w:val="24"/>
        </w:rPr>
        <w:t xml:space="preserve">핵심 원인  </w:t>
      </w:r>
      <w:r>
        <w:rPr>
          <w:rFonts w:ascii="Malgun Gothic" w:hAnsi="Malgun Gothic" w:eastAsia="Malgun Gothic"/>
          <w:b/>
          <w:color w:val="2D6A4F"/>
          <w:sz w:val="24"/>
        </w:rPr>
        <w:t>개인의 헌신을 공동체의 구조로 받쳐 주지 못한 것이 핵심 원인입니다.</w:t>
      </w:r>
    </w:p>
    <w:p>
      <w:pPr>
        <w:pStyle w:val="Heading2"/>
        <w:keepNext/>
      </w:pPr>
      <w:r>
        <w:rPr>
          <w:rFonts w:ascii="Malgun Gothic" w:hAnsi="Malgun Gothic" w:eastAsia="Malgun Gothic"/>
          <w:b/>
          <w:color w:val="000000"/>
          <w:sz w:val="30"/>
        </w:rPr>
        <w:t>1.2 관계 형성 이후의 전환 단절</w:t>
      </w:r>
    </w:p>
    <w:p>
      <w:pPr>
        <w:pStyle w:val="ListBullet"/>
        <w:widowControl/>
        <w:spacing w:after="100" w:line="331" w:lineRule="auto"/>
        <w:ind w:left="317" w:hanging="230"/>
      </w:pPr>
      <w:r>
        <w:rPr>
          <w:rFonts w:ascii="Malgun Gothic" w:hAnsi="Malgun Gothic" w:eastAsia="Malgun Gothic"/>
          <w:color w:val="1F2937"/>
          <w:sz w:val="24"/>
        </w:rPr>
        <w:t>한국어교실과 생활지원에는 참여하지만 예배와 성경공부로 이어지는 비율이 낮습니다.</w:t>
      </w:r>
    </w:p>
    <w:p>
      <w:pPr>
        <w:pStyle w:val="ListBullet"/>
        <w:widowControl/>
        <w:spacing w:after="100" w:line="331" w:lineRule="auto"/>
        <w:ind w:left="317" w:hanging="230"/>
      </w:pPr>
      <w:r>
        <w:rPr>
          <w:rFonts w:ascii="Malgun Gothic" w:hAnsi="Malgun Gothic" w:eastAsia="Malgun Gothic"/>
          <w:color w:val="1F2937"/>
          <w:sz w:val="24"/>
        </w:rPr>
        <w:t>첫 만남을 만든 기관과 후속 양육을 담당할 교회 사이의 인계가 없습니다.</w:t>
      </w:r>
    </w:p>
    <w:p>
      <w:pPr>
        <w:pStyle w:val="ListBullet"/>
        <w:widowControl/>
        <w:spacing w:after="100" w:line="331" w:lineRule="auto"/>
        <w:ind w:left="317" w:hanging="230"/>
      </w:pPr>
      <w:r>
        <w:rPr>
          <w:rFonts w:ascii="Malgun Gothic" w:hAnsi="Malgun Gothic" w:eastAsia="Malgun Gothic"/>
          <w:color w:val="1F2937"/>
          <w:sz w:val="24"/>
        </w:rPr>
        <w:t>복음 자료가 대상자의 언어와 문화·종교 배경을 충분히 반영하지 못합니다.</w:t>
      </w:r>
    </w:p>
    <w:p>
      <w:pPr>
        <w:widowControl/>
        <w:spacing w:line="355" w:lineRule="auto" w:after="160"/>
      </w:pPr>
      <w:r>
        <w:rPr>
          <w:rFonts w:ascii="Malgun Gothic" w:hAnsi="Malgun Gothic" w:eastAsia="Malgun Gothic"/>
          <w:b/>
          <w:color w:val="2D6A4F"/>
          <w:sz w:val="24"/>
        </w:rPr>
        <w:t xml:space="preserve">핵심 원인  </w:t>
      </w:r>
      <w:r>
        <w:rPr>
          <w:rFonts w:ascii="Malgun Gothic" w:hAnsi="Malgun Gothic" w:eastAsia="Malgun Gothic"/>
          <w:b/>
          <w:color w:val="2D6A4F"/>
          <w:sz w:val="24"/>
        </w:rPr>
        <w:t>접촉 프로그램은 있으나 관계–복음–양육–리더십을 잇는 공동 경로가 부족합니다.</w:t>
      </w:r>
    </w:p>
    <w:p>
      <w:pPr>
        <w:pStyle w:val="Heading2"/>
        <w:keepNext/>
      </w:pPr>
      <w:r>
        <w:rPr>
          <w:rFonts w:ascii="Malgun Gothic" w:hAnsi="Malgun Gothic" w:eastAsia="Malgun Gothic"/>
          <w:b/>
          <w:color w:val="000000"/>
          <w:sz w:val="30"/>
        </w:rPr>
        <w:t>1.3 비자와 행정의 장벽</w:t>
      </w:r>
    </w:p>
    <w:p>
      <w:pPr>
        <w:pStyle w:val="ListBullet"/>
        <w:widowControl/>
        <w:spacing w:after="100" w:line="331" w:lineRule="auto"/>
        <w:ind w:left="317" w:hanging="230"/>
      </w:pPr>
      <w:r>
        <w:rPr>
          <w:rFonts w:ascii="Malgun Gothic" w:hAnsi="Malgun Gothic" w:eastAsia="Malgun Gothic"/>
          <w:color w:val="1F2937"/>
          <w:sz w:val="24"/>
        </w:rPr>
        <w:t>외국인 사역자와 근로자의 체류 자격 문제가 사역과 생계를 동시에 흔듭니다.</w:t>
      </w:r>
    </w:p>
    <w:p>
      <w:pPr>
        <w:pStyle w:val="ListBullet"/>
        <w:widowControl/>
        <w:spacing w:after="100" w:line="331" w:lineRule="auto"/>
        <w:ind w:left="317" w:hanging="230"/>
      </w:pPr>
      <w:r>
        <w:rPr>
          <w:rFonts w:ascii="Malgun Gothic" w:hAnsi="Malgun Gothic" w:eastAsia="Malgun Gothic"/>
          <w:color w:val="1F2937"/>
          <w:sz w:val="24"/>
        </w:rPr>
        <w:t>교회와 센터가 법률·노무·출입국 정보를 개별적으로 해석하여 오류 위험이 큽니다.</w:t>
      </w:r>
    </w:p>
    <w:p>
      <w:pPr>
        <w:pStyle w:val="ListBullet"/>
        <w:widowControl/>
        <w:spacing w:after="100" w:line="331" w:lineRule="auto"/>
        <w:ind w:left="317" w:hanging="230"/>
      </w:pPr>
      <w:r>
        <w:rPr>
          <w:rFonts w:ascii="Malgun Gothic" w:hAnsi="Malgun Gothic" w:eastAsia="Malgun Gothic"/>
          <w:color w:val="1F2937"/>
          <w:sz w:val="24"/>
        </w:rPr>
        <w:t>자격 있는 전문가에게 연결되기까지 시간이 오래 걸립니다.</w:t>
      </w:r>
    </w:p>
    <w:p>
      <w:pPr>
        <w:widowControl/>
        <w:spacing w:line="355" w:lineRule="auto" w:after="160"/>
      </w:pPr>
      <w:r>
        <w:rPr>
          <w:rFonts w:ascii="Malgun Gothic" w:hAnsi="Malgun Gothic" w:eastAsia="Malgun Gothic"/>
          <w:b/>
          <w:color w:val="2D6A4F"/>
          <w:sz w:val="24"/>
        </w:rPr>
        <w:t xml:space="preserve">핵심 원인  </w:t>
      </w:r>
      <w:r>
        <w:rPr>
          <w:rFonts w:ascii="Malgun Gothic" w:hAnsi="Malgun Gothic" w:eastAsia="Malgun Gothic"/>
          <w:b/>
          <w:color w:val="2D6A4F"/>
          <w:sz w:val="24"/>
        </w:rPr>
        <w:t>행정 문제를 선교의 주변 업무로 보아 전문 협력 체계를 미리 세우지 못했습니다.</w:t>
      </w:r>
    </w:p>
    <w:p>
      <w:pPr>
        <w:pStyle w:val="Heading2"/>
        <w:keepNext/>
      </w:pPr>
      <w:r>
        <w:rPr>
          <w:rFonts w:ascii="Malgun Gothic" w:hAnsi="Malgun Gothic" w:eastAsia="Malgun Gothic"/>
          <w:b/>
          <w:color w:val="000000"/>
          <w:sz w:val="30"/>
        </w:rPr>
        <w:t>1.4 정보와 자원의 분산</w:t>
      </w:r>
    </w:p>
    <w:p>
      <w:pPr>
        <w:pStyle w:val="ListBullet"/>
        <w:widowControl/>
        <w:spacing w:after="100" w:line="331" w:lineRule="auto"/>
        <w:ind w:left="317" w:hanging="230"/>
      </w:pPr>
      <w:r>
        <w:rPr>
          <w:rFonts w:ascii="Malgun Gothic" w:hAnsi="Malgun Gothic" w:eastAsia="Malgun Gothic"/>
          <w:color w:val="1F2937"/>
          <w:sz w:val="24"/>
        </w:rPr>
        <w:t>사역자 명단, 교육자료, 통역자, 차량, 공간, 후원 가능 자원이 흩어져 있습니다.</w:t>
      </w:r>
    </w:p>
    <w:p>
      <w:pPr>
        <w:pStyle w:val="ListBullet"/>
        <w:widowControl/>
        <w:spacing w:after="100" w:line="331" w:lineRule="auto"/>
        <w:ind w:left="317" w:hanging="230"/>
      </w:pPr>
      <w:r>
        <w:rPr>
          <w:rFonts w:ascii="Malgun Gothic" w:hAnsi="Malgun Gothic" w:eastAsia="Malgun Gothic"/>
          <w:color w:val="1F2937"/>
          <w:sz w:val="24"/>
        </w:rPr>
        <w:t>새 사역자는 이미 존재하는 자원을 알지 못해 같은 자료를 다시 만듭니다.</w:t>
      </w:r>
    </w:p>
    <w:p>
      <w:pPr>
        <w:pStyle w:val="ListBullet"/>
        <w:widowControl/>
        <w:spacing w:after="100" w:line="331" w:lineRule="auto"/>
        <w:ind w:left="317" w:hanging="230"/>
      </w:pPr>
      <w:r>
        <w:rPr>
          <w:rFonts w:ascii="Malgun Gothic" w:hAnsi="Malgun Gothic" w:eastAsia="Malgun Gothic"/>
          <w:color w:val="1F2937"/>
          <w:sz w:val="24"/>
        </w:rPr>
        <w:t>기관 사이트가 없거나 최신 정보가 부족하여 외부 협력이 어렵습니다.</w:t>
      </w:r>
    </w:p>
    <w:p>
      <w:pPr>
        <w:widowControl/>
        <w:spacing w:line="355" w:lineRule="auto" w:after="160"/>
      </w:pPr>
      <w:r>
        <w:rPr>
          <w:rFonts w:ascii="Malgun Gothic" w:hAnsi="Malgun Gothic" w:eastAsia="Malgun Gothic"/>
          <w:b/>
          <w:color w:val="2D6A4F"/>
          <w:sz w:val="24"/>
        </w:rPr>
        <w:t xml:space="preserve">핵심 원인  </w:t>
      </w:r>
      <w:r>
        <w:rPr>
          <w:rFonts w:ascii="Malgun Gothic" w:hAnsi="Malgun Gothic" w:eastAsia="Malgun Gothic"/>
          <w:b/>
          <w:color w:val="2D6A4F"/>
          <w:sz w:val="24"/>
        </w:rPr>
        <w:t>정보를 정기적으로 확인하고 갱신하는 공동 운영자가 없기 때문입니다.</w:t>
      </w:r>
    </w:p>
    <w:p>
      <w:pPr>
        <w:pStyle w:val="Heading2"/>
        <w:keepNext/>
      </w:pPr>
      <w:r>
        <w:rPr>
          <w:rFonts w:ascii="Malgun Gothic" w:hAnsi="Malgun Gothic" w:eastAsia="Malgun Gothic"/>
          <w:b/>
          <w:color w:val="000000"/>
          <w:sz w:val="30"/>
        </w:rPr>
        <w:t>1.5 이주민 리더십의 제한</w:t>
      </w:r>
    </w:p>
    <w:p>
      <w:pPr>
        <w:pStyle w:val="ListBullet"/>
        <w:widowControl/>
        <w:spacing w:after="100" w:line="331" w:lineRule="auto"/>
        <w:ind w:left="317" w:hanging="230"/>
      </w:pPr>
      <w:r>
        <w:rPr>
          <w:rFonts w:ascii="Malgun Gothic" w:hAnsi="Malgun Gothic" w:eastAsia="Malgun Gothic"/>
          <w:color w:val="1F2937"/>
          <w:sz w:val="24"/>
        </w:rPr>
        <w:t>이주민이 행사 참가자와 통역 보조자에 머무는 경우가 많습니다.</w:t>
      </w:r>
    </w:p>
    <w:p>
      <w:pPr>
        <w:pStyle w:val="ListBullet"/>
        <w:widowControl/>
        <w:spacing w:after="100" w:line="331" w:lineRule="auto"/>
        <w:ind w:left="317" w:hanging="230"/>
      </w:pPr>
      <w:r>
        <w:rPr>
          <w:rFonts w:ascii="Malgun Gothic" w:hAnsi="Malgun Gothic" w:eastAsia="Malgun Gothic"/>
          <w:color w:val="1F2937"/>
          <w:sz w:val="24"/>
        </w:rPr>
        <w:t>한국식 전도와 예배 방식을 그대로 적용하여 문화적 주도성이 약해집니다.</w:t>
      </w:r>
    </w:p>
    <w:p>
      <w:pPr>
        <w:pStyle w:val="ListBullet"/>
        <w:widowControl/>
        <w:spacing w:after="100" w:line="331" w:lineRule="auto"/>
        <w:ind w:left="317" w:hanging="230"/>
      </w:pPr>
      <w:r>
        <w:rPr>
          <w:rFonts w:ascii="Malgun Gothic" w:hAnsi="Malgun Gothic" w:eastAsia="Malgun Gothic"/>
          <w:color w:val="1F2937"/>
          <w:sz w:val="24"/>
        </w:rPr>
        <w:t>신학 교육을 받은 외국인 사역자도 비자와 교단 행정 때문에 사역이 중단됩니다.</w:t>
      </w:r>
    </w:p>
    <w:p>
      <w:pPr>
        <w:widowControl/>
        <w:spacing w:line="355" w:lineRule="auto" w:after="160"/>
      </w:pPr>
      <w:r>
        <w:rPr>
          <w:rFonts w:ascii="Malgun Gothic" w:hAnsi="Malgun Gothic" w:eastAsia="Malgun Gothic"/>
          <w:b/>
          <w:color w:val="2D6A4F"/>
          <w:sz w:val="24"/>
        </w:rPr>
        <w:t xml:space="preserve">핵심 원인  </w:t>
      </w:r>
      <w:r>
        <w:rPr>
          <w:rFonts w:ascii="Malgun Gothic" w:hAnsi="Malgun Gothic" w:eastAsia="Malgun Gothic"/>
          <w:b/>
          <w:color w:val="2D6A4F"/>
          <w:sz w:val="24"/>
        </w:rPr>
        <w:t>의사결정권과 사역 책임을 단계적으로 위임하는 구조가 부족합니다.</w:t>
      </w:r>
    </w:p>
    <w:p>
      <w:pPr>
        <w:pStyle w:val="Heading2"/>
        <w:keepNext/>
      </w:pPr>
      <w:r>
        <w:rPr>
          <w:rFonts w:ascii="Malgun Gothic" w:hAnsi="Malgun Gothic" w:eastAsia="Malgun Gothic"/>
          <w:b/>
          <w:color w:val="000000"/>
          <w:sz w:val="30"/>
        </w:rPr>
        <w:t>1.6 대상별 전문성 부족</w:t>
      </w:r>
    </w:p>
    <w:p>
      <w:pPr>
        <w:pStyle w:val="ListBullet"/>
        <w:widowControl/>
        <w:spacing w:after="100" w:line="331" w:lineRule="auto"/>
        <w:ind w:left="317" w:hanging="230"/>
      </w:pPr>
      <w:r>
        <w:rPr>
          <w:rFonts w:ascii="Malgun Gothic" w:hAnsi="Malgun Gothic" w:eastAsia="Malgun Gothic"/>
          <w:color w:val="1F2937"/>
          <w:sz w:val="24"/>
        </w:rPr>
        <w:t>불교권·이슬람권·러시아권·중앙아시아권의 세계관 차이가 충분히 반영되지 않습니다.</w:t>
      </w:r>
    </w:p>
    <w:p>
      <w:pPr>
        <w:pStyle w:val="ListBullet"/>
        <w:widowControl/>
        <w:spacing w:after="100" w:line="331" w:lineRule="auto"/>
        <w:ind w:left="317" w:hanging="230"/>
      </w:pPr>
      <w:r>
        <w:rPr>
          <w:rFonts w:ascii="Malgun Gothic" w:hAnsi="Malgun Gothic" w:eastAsia="Malgun Gothic"/>
          <w:color w:val="1F2937"/>
          <w:sz w:val="24"/>
        </w:rPr>
        <w:t>근로자·유학생·다문화가정·다음세대가 서로 다른 필요를 가지지만 같은 프로그램을 적용합니다.</w:t>
      </w:r>
    </w:p>
    <w:p>
      <w:pPr>
        <w:pStyle w:val="ListBullet"/>
        <w:widowControl/>
        <w:spacing w:after="100" w:line="331" w:lineRule="auto"/>
        <w:ind w:left="317" w:hanging="230"/>
      </w:pPr>
      <w:r>
        <w:rPr>
          <w:rFonts w:ascii="Malgun Gothic" w:hAnsi="Malgun Gothic" w:eastAsia="Malgun Gothic"/>
          <w:color w:val="1F2937"/>
          <w:sz w:val="24"/>
        </w:rPr>
        <w:t>민속신앙과 가족·공동체 문화가 실제 신앙 결정에 미치는 영향을 놓치기 쉽습니다.</w:t>
      </w:r>
    </w:p>
    <w:p>
      <w:pPr>
        <w:widowControl/>
        <w:spacing w:line="355" w:lineRule="auto" w:after="160"/>
      </w:pPr>
      <w:r>
        <w:rPr>
          <w:rFonts w:ascii="Malgun Gothic" w:hAnsi="Malgun Gothic" w:eastAsia="Malgun Gothic"/>
          <w:b/>
          <w:color w:val="2D6A4F"/>
          <w:sz w:val="24"/>
        </w:rPr>
        <w:t xml:space="preserve">핵심 원인  </w:t>
      </w:r>
      <w:r>
        <w:rPr>
          <w:rFonts w:ascii="Malgun Gothic" w:hAnsi="Malgun Gothic" w:eastAsia="Malgun Gothic"/>
          <w:b/>
          <w:color w:val="2D6A4F"/>
          <w:sz w:val="24"/>
        </w:rPr>
        <w:t>국가명 중심 분류에 머물고 생애주기·체류유형·종교문화까지 함께 보지 못했습니다.</w:t>
      </w:r>
    </w:p>
    <w:p>
      <w:pPr>
        <w:pStyle w:val="Heading2"/>
        <w:keepNext/>
      </w:pPr>
      <w:r>
        <w:rPr>
          <w:rFonts w:ascii="Malgun Gothic" w:hAnsi="Malgun Gothic" w:eastAsia="Malgun Gothic"/>
          <w:b/>
          <w:color w:val="000000"/>
          <w:sz w:val="30"/>
        </w:rPr>
        <w:t>1.7 다음세대와 가족 돌봄의 공백</w:t>
      </w:r>
    </w:p>
    <w:p>
      <w:pPr>
        <w:pStyle w:val="ListBullet"/>
        <w:widowControl/>
        <w:spacing w:after="100" w:line="331" w:lineRule="auto"/>
        <w:ind w:left="317" w:hanging="230"/>
      </w:pPr>
      <w:r>
        <w:rPr>
          <w:rFonts w:ascii="Malgun Gothic" w:hAnsi="Malgun Gothic" w:eastAsia="Malgun Gothic"/>
          <w:color w:val="1F2937"/>
          <w:sz w:val="24"/>
        </w:rPr>
        <w:t>부모의 한국어 한계와 자녀의 한국어 중심 생활이 가족 소통을 어렵게 합니다.</w:t>
      </w:r>
    </w:p>
    <w:p>
      <w:pPr>
        <w:pStyle w:val="ListBullet"/>
        <w:widowControl/>
        <w:spacing w:after="100" w:line="331" w:lineRule="auto"/>
        <w:ind w:left="317" w:hanging="230"/>
      </w:pPr>
      <w:r>
        <w:rPr>
          <w:rFonts w:ascii="Malgun Gothic" w:hAnsi="Malgun Gothic" w:eastAsia="Malgun Gothic"/>
          <w:color w:val="1F2937"/>
          <w:sz w:val="24"/>
        </w:rPr>
        <w:t>학교 적응, 정체성, 신앙교육, 부모교육이 각각 분리되어 있습니다.</w:t>
      </w:r>
    </w:p>
    <w:p>
      <w:pPr>
        <w:pStyle w:val="ListBullet"/>
        <w:widowControl/>
        <w:spacing w:after="100" w:line="331" w:lineRule="auto"/>
        <w:ind w:left="317" w:hanging="230"/>
      </w:pPr>
      <w:r>
        <w:rPr>
          <w:rFonts w:ascii="Malgun Gothic" w:hAnsi="Malgun Gothic" w:eastAsia="Malgun Gothic"/>
          <w:color w:val="1F2937"/>
          <w:sz w:val="24"/>
        </w:rPr>
        <w:t>이주 배경 아동이 두 문화를 약점이 아니라 자산으로 받아들이도록 돕는 과정이 부족합니다.</w:t>
      </w:r>
    </w:p>
    <w:p>
      <w:pPr>
        <w:widowControl/>
        <w:spacing w:line="355" w:lineRule="auto" w:after="160"/>
      </w:pPr>
      <w:r>
        <w:rPr>
          <w:rFonts w:ascii="Malgun Gothic" w:hAnsi="Malgun Gothic" w:eastAsia="Malgun Gothic"/>
          <w:b/>
          <w:color w:val="2D6A4F"/>
          <w:sz w:val="24"/>
        </w:rPr>
        <w:t xml:space="preserve">핵심 원인  </w:t>
      </w:r>
      <w:r>
        <w:rPr>
          <w:rFonts w:ascii="Malgun Gothic" w:hAnsi="Malgun Gothic" w:eastAsia="Malgun Gothic"/>
          <w:b/>
          <w:color w:val="2D6A4F"/>
          <w:sz w:val="24"/>
        </w:rPr>
        <w:t>가정–교회–학교를 연결하는 사례관리와 장기 동행이 부족합니다.</w:t>
      </w:r>
    </w:p>
    <w:p>
      <w:pPr>
        <w:pStyle w:val="Heading2"/>
        <w:keepNext/>
      </w:pPr>
      <w:r>
        <w:rPr>
          <w:rFonts w:ascii="Malgun Gothic" w:hAnsi="Malgun Gothic" w:eastAsia="Malgun Gothic"/>
          <w:b/>
          <w:color w:val="000000"/>
          <w:sz w:val="30"/>
        </w:rPr>
        <w:t>1.8 기록과 평가의 부족</w:t>
      </w:r>
    </w:p>
    <w:p>
      <w:pPr>
        <w:pStyle w:val="ListBullet"/>
        <w:widowControl/>
        <w:spacing w:after="100" w:line="331" w:lineRule="auto"/>
        <w:ind w:left="317" w:hanging="230"/>
      </w:pPr>
      <w:r>
        <w:rPr>
          <w:rFonts w:ascii="Malgun Gothic" w:hAnsi="Malgun Gothic" w:eastAsia="Malgun Gothic"/>
          <w:color w:val="1F2937"/>
          <w:sz w:val="24"/>
        </w:rPr>
        <w:t>좋은 사역 사례가 사진과 단체방 메시지에 머물고 다음 사역으로 전수되지 않습니다.</w:t>
      </w:r>
    </w:p>
    <w:p>
      <w:pPr>
        <w:pStyle w:val="ListBullet"/>
        <w:widowControl/>
        <w:spacing w:after="100" w:line="331" w:lineRule="auto"/>
        <w:ind w:left="317" w:hanging="230"/>
      </w:pPr>
      <w:r>
        <w:rPr>
          <w:rFonts w:ascii="Malgun Gothic" w:hAnsi="Malgun Gothic" w:eastAsia="Malgun Gothic"/>
          <w:color w:val="1F2937"/>
          <w:sz w:val="24"/>
        </w:rPr>
        <w:t>행사 참석 인원은 세지만 관계 지속과 제자화 결과는 추적하지 못합니다.</w:t>
      </w:r>
    </w:p>
    <w:p>
      <w:pPr>
        <w:pStyle w:val="ListBullet"/>
        <w:widowControl/>
        <w:spacing w:after="100" w:line="331" w:lineRule="auto"/>
        <w:ind w:left="317" w:hanging="230"/>
      </w:pPr>
      <w:r>
        <w:rPr>
          <w:rFonts w:ascii="Malgun Gothic" w:hAnsi="Malgun Gothic" w:eastAsia="Malgun Gothic"/>
          <w:color w:val="1F2937"/>
          <w:sz w:val="24"/>
        </w:rPr>
        <w:t>실패와 시행착오가 공유되지 않아 같은 문제가 반복됩니다.</w:t>
      </w:r>
    </w:p>
    <w:p>
      <w:pPr>
        <w:widowControl/>
        <w:spacing w:line="355" w:lineRule="auto" w:after="160"/>
      </w:pPr>
      <w:r>
        <w:rPr>
          <w:rFonts w:ascii="Malgun Gothic" w:hAnsi="Malgun Gothic" w:eastAsia="Malgun Gothic"/>
          <w:b/>
          <w:color w:val="2D6A4F"/>
          <w:sz w:val="24"/>
        </w:rPr>
        <w:t xml:space="preserve">핵심 원인  </w:t>
      </w:r>
      <w:r>
        <w:rPr>
          <w:rFonts w:ascii="Malgun Gothic" w:hAnsi="Malgun Gothic" w:eastAsia="Malgun Gothic"/>
          <w:b/>
          <w:color w:val="2D6A4F"/>
          <w:sz w:val="24"/>
        </w:rPr>
        <w:t>기록을 행정 부담으로 여기고 학습과 재생산을 위한 선교 자산으로 관리하지 못했습니다.</w:t>
      </w:r>
    </w:p>
    <w:p>
      <w:pPr>
        <w:widowControl/>
        <w:spacing w:line="355" w:lineRule="auto" w:after="160"/>
      </w:pPr>
      <w:r>
        <w:rPr>
          <w:rFonts w:ascii="Malgun Gothic" w:hAnsi="Malgun Gothic" w:eastAsia="Malgun Gothic"/>
          <w:color w:val="1F2937"/>
          <w:sz w:val="24"/>
        </w:rPr>
        <w:br w:type="page"/>
      </w:r>
    </w:p>
    <w:p>
      <w:pPr>
        <w:pStyle w:val="Heading1"/>
        <w:keepNext/>
      </w:pPr>
      <w:r>
        <w:rPr>
          <w:rFonts w:ascii="Malgun Gothic" w:hAnsi="Malgun Gothic" w:eastAsia="Malgun Gothic"/>
          <w:b/>
          <w:color w:val="000000"/>
          <w:sz w:val="38"/>
        </w:rPr>
        <w:t>2 이주민 선교의 방향</w:t>
      </w:r>
    </w:p>
    <w:p>
      <w:pPr>
        <w:keepNext/>
        <w:widowControl/>
        <w:spacing w:after="160" w:line="355" w:lineRule="auto"/>
      </w:pPr>
      <w:r>
        <w:rPr>
          <w:rFonts w:ascii="Malgun Gothic" w:hAnsi="Malgun Gothic" w:eastAsia="Malgun Gothic"/>
          <w:color w:val="1F2937"/>
          <w:sz w:val="24"/>
        </w:rPr>
        <w:t>방향은 행사를 더 많이 만드는 데 있지 않습니다. 한 사람의 삶을 오래 동행하고, 각 기관이 잘하는 일을 연결하며, 이주민이 복음 안에서 스스로 서도록 돕는 데 있습니다.</w:t>
      </w:r>
    </w:p>
    <w:p>
      <w:pPr>
        <w:pStyle w:val="Heading2"/>
        <w:keepNext/>
      </w:pPr>
      <w:r>
        <w:rPr>
          <w:rFonts w:ascii="Malgun Gothic" w:hAnsi="Malgun Gothic" w:eastAsia="Malgun Gothic"/>
          <w:b/>
          <w:color w:val="000000"/>
          <w:sz w:val="30"/>
        </w:rPr>
        <w:t>2.1 관계 중심 선교</w:t>
      </w:r>
    </w:p>
    <w:p>
      <w:pPr>
        <w:widowControl/>
        <w:spacing w:line="355" w:lineRule="auto" w:after="160"/>
      </w:pPr>
      <w:r>
        <w:rPr>
          <w:rFonts w:ascii="Malgun Gothic" w:hAnsi="Malgun Gothic" w:eastAsia="Malgun Gothic"/>
          <w:color w:val="1F2937"/>
          <w:sz w:val="24"/>
        </w:rPr>
        <w:t>필요를 해결하기 전에 이름과 이야기를 듣습니다. 정기적인 식탁·소그룹·가정 방문을 통해 신뢰를 쌓고, 담당자가 바뀌어도 관계가 끊기지 않도록 기록합니다.</w:t>
      </w:r>
    </w:p>
    <w:p>
      <w:pPr>
        <w:pStyle w:val="Heading2"/>
        <w:keepNext/>
      </w:pPr>
      <w:r>
        <w:rPr>
          <w:rFonts w:ascii="Malgun Gothic" w:hAnsi="Malgun Gothic" w:eastAsia="Malgun Gothic"/>
          <w:b/>
          <w:color w:val="000000"/>
          <w:sz w:val="30"/>
        </w:rPr>
        <w:t>2.2 통합 돌봄 선교</w:t>
      </w:r>
    </w:p>
    <w:p>
      <w:pPr>
        <w:widowControl/>
        <w:spacing w:line="355" w:lineRule="auto" w:after="160"/>
      </w:pPr>
      <w:r>
        <w:rPr>
          <w:rFonts w:ascii="Malgun Gothic" w:hAnsi="Malgun Gothic" w:eastAsia="Malgun Gothic"/>
          <w:color w:val="1F2937"/>
          <w:sz w:val="24"/>
        </w:rPr>
        <w:t>영적 돌봄과 생활 문제를 서로 경쟁시키지 않습니다. 교회는 예배와 공동체를, 전문기관은 비자·노무·의료를, 기업은 일터와 기술을 맡아 한 사람을 함께 섬깁니다.</w:t>
      </w:r>
    </w:p>
    <w:p>
      <w:pPr>
        <w:pStyle w:val="Heading2"/>
        <w:keepNext/>
      </w:pPr>
      <w:r>
        <w:rPr>
          <w:rFonts w:ascii="Malgun Gothic" w:hAnsi="Malgun Gothic" w:eastAsia="Malgun Gothic"/>
          <w:b/>
          <w:color w:val="000000"/>
          <w:sz w:val="30"/>
        </w:rPr>
        <w:t>2.3 이주민 주도 선교</w:t>
      </w:r>
    </w:p>
    <w:p>
      <w:pPr>
        <w:widowControl/>
        <w:spacing w:line="355" w:lineRule="auto" w:after="160"/>
      </w:pPr>
      <w:r>
        <w:rPr>
          <w:rFonts w:ascii="Malgun Gothic" w:hAnsi="Malgun Gothic" w:eastAsia="Malgun Gothic"/>
          <w:color w:val="1F2937"/>
          <w:sz w:val="24"/>
        </w:rPr>
        <w:t>이주민을 수혜자에서 통역자, 소그룹 인도자, 교사, 전도자, 목회자로 성장시킵니다. 회의와 프로그램 기획에도 당사자가 참여하도록 합니다.</w:t>
      </w:r>
    </w:p>
    <w:p>
      <w:pPr>
        <w:pStyle w:val="Heading2"/>
        <w:keepNext/>
      </w:pPr>
      <w:r>
        <w:rPr>
          <w:rFonts w:ascii="Malgun Gothic" w:hAnsi="Malgun Gothic" w:eastAsia="Malgun Gothic"/>
          <w:b/>
          <w:color w:val="000000"/>
          <w:sz w:val="30"/>
        </w:rPr>
        <w:t>2.4 대상별 문화 이해</w:t>
      </w:r>
    </w:p>
    <w:p>
      <w:pPr>
        <w:widowControl/>
        <w:spacing w:line="355" w:lineRule="auto" w:after="160"/>
      </w:pPr>
      <w:r>
        <w:rPr>
          <w:rFonts w:ascii="Malgun Gothic" w:hAnsi="Malgun Gothic" w:eastAsia="Malgun Gothic"/>
          <w:color w:val="1F2937"/>
          <w:sz w:val="24"/>
        </w:rPr>
        <w:t>국가와 언어뿐 아니라 종교 배경, 가족관계, 체류 목적, 노동 환경, 세대 차이를 함께 파악합니다. 특히 불교권 이주민에게는 정통 불교와 민속신앙의 실제 영향을 구분하여 접근합니다.</w:t>
      </w:r>
    </w:p>
    <w:p>
      <w:pPr>
        <w:pStyle w:val="Heading2"/>
        <w:keepNext/>
      </w:pPr>
      <w:r>
        <w:rPr>
          <w:rFonts w:ascii="Malgun Gothic" w:hAnsi="Malgun Gothic" w:eastAsia="Malgun Gothic"/>
          <w:b/>
          <w:color w:val="000000"/>
          <w:sz w:val="30"/>
        </w:rPr>
        <w:t>2.5 일터와 캠퍼스 선교</w:t>
      </w:r>
    </w:p>
    <w:p>
      <w:pPr>
        <w:widowControl/>
        <w:spacing w:line="355" w:lineRule="auto" w:after="160"/>
      </w:pPr>
      <w:r>
        <w:rPr>
          <w:rFonts w:ascii="Malgun Gothic" w:hAnsi="Malgun Gothic" w:eastAsia="Malgun Gothic"/>
          <w:color w:val="1F2937"/>
          <w:sz w:val="24"/>
        </w:rPr>
        <w:t>이주민이 가장 많은 시간을 보내는 공장·조선소·대학을 선교의 현장으로 봅니다. 기업인·CBMC·대학·지역교회가 생활 정착, 관계 형성, 예배 공동체를 연결합니다.</w:t>
      </w:r>
    </w:p>
    <w:p>
      <w:pPr>
        <w:pStyle w:val="Heading2"/>
        <w:keepNext/>
      </w:pPr>
      <w:r>
        <w:rPr>
          <w:rFonts w:ascii="Malgun Gothic" w:hAnsi="Malgun Gothic" w:eastAsia="Malgun Gothic"/>
          <w:b/>
          <w:color w:val="000000"/>
          <w:sz w:val="30"/>
        </w:rPr>
        <w:t>2.6 디지털 연결 선교</w:t>
      </w:r>
    </w:p>
    <w:p>
      <w:pPr>
        <w:widowControl/>
        <w:spacing w:line="355" w:lineRule="auto" w:after="160"/>
      </w:pPr>
      <w:r>
        <w:rPr>
          <w:rFonts w:ascii="Malgun Gothic" w:hAnsi="Malgun Gothic" w:eastAsia="Malgun Gothic"/>
          <w:color w:val="1F2937"/>
          <w:sz w:val="24"/>
        </w:rPr>
        <w:t>모바일에서 지역·언어·전문성을 검색하고 즉시 담당자에게 연결되게 합니다. AI 번역과 다국어 콘텐츠를 활용하되, 개인정보와 사실 확인을 사람이 책임집니다.</w:t>
      </w:r>
    </w:p>
    <w:p>
      <w:pPr>
        <w:pStyle w:val="Heading2"/>
        <w:keepNext/>
      </w:pPr>
      <w:r>
        <w:rPr>
          <w:rFonts w:ascii="Malgun Gothic" w:hAnsi="Malgun Gothic" w:eastAsia="Malgun Gothic"/>
          <w:b/>
          <w:color w:val="000000"/>
          <w:sz w:val="30"/>
        </w:rPr>
        <w:t>2.7 역파송과 재생산</w:t>
      </w:r>
    </w:p>
    <w:p>
      <w:pPr>
        <w:widowControl/>
        <w:spacing w:line="355" w:lineRule="auto" w:after="160"/>
      </w:pPr>
      <w:r>
        <w:rPr>
          <w:rFonts w:ascii="Malgun Gothic" w:hAnsi="Malgun Gothic" w:eastAsia="Malgun Gothic"/>
          <w:color w:val="1F2937"/>
          <w:sz w:val="24"/>
        </w:rPr>
        <w:t>국내에서 세워진 이주민 리더가 본국과 디아스포라를 섬기도록 훈련·후원·네트워크를 연결합니다. 목표는 한국 기관 의존이 아니라 현지화와 재생산입니다.</w:t>
      </w:r>
    </w:p>
    <w:p>
      <w:pPr>
        <w:pStyle w:val="Heading2"/>
        <w:keepNext/>
      </w:pPr>
      <w:r>
        <w:rPr>
          <w:rFonts w:ascii="Malgun Gothic" w:hAnsi="Malgun Gothic" w:eastAsia="Malgun Gothic"/>
          <w:b/>
          <w:color w:val="000000"/>
          <w:sz w:val="30"/>
        </w:rPr>
        <w:t>사역의 공통 과정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rPr>
          <w:tblHeader w:val="true"/>
          <w:cantSplit/>
        </w:trPr>
        <w:tc>
          <w:tcPr>
            <w:tcW w:type="dxa" w:w="1512"/>
            <w:shd w:fill="0F20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b/>
                <w:color w:val="FFFFFF"/>
                <w:sz w:val="22"/>
              </w:rPr>
              <w:t>단계</w:t>
            </w:r>
          </w:p>
        </w:tc>
        <w:tc>
          <w:tcPr>
            <w:tcW w:type="dxa" w:w="4536"/>
            <w:shd w:fill="0F20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b/>
                <w:color w:val="FFFFFF"/>
                <w:sz w:val="22"/>
              </w:rPr>
              <w:t>핵심 활동</w:t>
            </w:r>
          </w:p>
        </w:tc>
        <w:tc>
          <w:tcPr>
            <w:tcW w:type="dxa" w:w="3960"/>
            <w:shd w:fill="0F20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b/>
                <w:color w:val="FFFFFF"/>
                <w:sz w:val="22"/>
              </w:rPr>
              <w:t>다음 단계로 넘어가는 기준</w:t>
            </w:r>
          </w:p>
        </w:tc>
      </w:tr>
      <w:tr>
        <w:trPr>
          <w:cantSplit/>
        </w:trPr>
        <w:tc>
          <w:tcPr>
            <w:tcW w:type="dxa" w:w="15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1 관계 형성</w:t>
            </w:r>
          </w:p>
        </w:tc>
        <w:tc>
          <w:tcPr>
            <w:tcW w:type="dxa" w:w="453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한국어·문화교실  생활상담  식탁교제  일터·캠퍼스 방문</w:t>
            </w:r>
          </w:p>
        </w:tc>
        <w:tc>
          <w:tcPr>
            <w:tcW w:type="dxa" w:w="396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담당자와 정기적인 만남이 약속됨</w:t>
            </w:r>
          </w:p>
        </w:tc>
      </w:tr>
      <w:tr>
        <w:trPr>
          <w:cantSplit/>
        </w:trPr>
        <w:tc>
          <w:tcPr>
            <w:tcW w:type="dxa" w:w="15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2 복음 대화</w:t>
            </w:r>
          </w:p>
        </w:tc>
        <w:tc>
          <w:tcPr>
            <w:tcW w:type="dxa" w:w="453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다국어 복음자료  통역  종교·문화 배경을 존중한 대화</w:t>
            </w:r>
          </w:p>
        </w:tc>
        <w:tc>
          <w:tcPr>
            <w:tcW w:type="dxa" w:w="396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복음 질문과 성경읽기에 자발적으로 참여함</w:t>
            </w:r>
          </w:p>
        </w:tc>
      </w:tr>
      <w:tr>
        <w:trPr>
          <w:cantSplit/>
        </w:trPr>
        <w:tc>
          <w:tcPr>
            <w:tcW w:type="dxa" w:w="15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3 공동체 양육</w:t>
            </w:r>
          </w:p>
        </w:tc>
        <w:tc>
          <w:tcPr>
            <w:tcW w:type="dxa" w:w="453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성경공부  소그룹  가정·예배 공동체  가족 돌봄</w:t>
            </w:r>
          </w:p>
        </w:tc>
        <w:tc>
          <w:tcPr>
            <w:tcW w:type="dxa" w:w="396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말씀·기도·교제의 생활 습관이 형성됨</w:t>
            </w:r>
          </w:p>
        </w:tc>
      </w:tr>
      <w:tr>
        <w:trPr>
          <w:cantSplit/>
        </w:trPr>
        <w:tc>
          <w:tcPr>
            <w:tcW w:type="dxa" w:w="15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4 리더 세움</w:t>
            </w:r>
          </w:p>
        </w:tc>
        <w:tc>
          <w:tcPr>
            <w:tcW w:type="dxa" w:w="453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은사 발견  역할 위임  신학·사역 훈련  멘토링</w:t>
            </w:r>
          </w:p>
        </w:tc>
        <w:tc>
          <w:tcPr>
            <w:tcW w:type="dxa" w:w="396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다른 사람을 돌보고 가르치는 책임을 감당함</w:t>
            </w:r>
          </w:p>
        </w:tc>
      </w:tr>
      <w:tr>
        <w:trPr>
          <w:cantSplit/>
        </w:trPr>
        <w:tc>
          <w:tcPr>
            <w:tcW w:type="dxa" w:w="15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5 역파송</w:t>
            </w:r>
          </w:p>
        </w:tc>
        <w:tc>
          <w:tcPr>
            <w:tcW w:type="dxa" w:w="453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본국·디아스포라 연결  BAM  현지 사역 프로젝트</w:t>
            </w:r>
          </w:p>
        </w:tc>
        <w:tc>
          <w:tcPr>
            <w:tcW w:type="dxa" w:w="396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자립적으로 사역하고 새로운 리더를 세움</w:t>
            </w:r>
          </w:p>
        </w:tc>
      </w:tr>
    </w:tbl>
    <w:p>
      <w:pPr>
        <w:widowControl/>
        <w:spacing w:after="160" w:line="355" w:lineRule="auto"/>
      </w:pPr>
    </w:p>
    <w:p>
      <w:pPr>
        <w:widowControl/>
        <w:spacing w:line="355" w:lineRule="auto" w:after="160"/>
      </w:pPr>
      <w:r>
        <w:rPr>
          <w:rFonts w:ascii="Malgun Gothic" w:hAnsi="Malgun Gothic" w:eastAsia="Malgun Gothic"/>
          <w:color w:val="1F2937"/>
          <w:sz w:val="24"/>
        </w:rPr>
        <w:br w:type="page"/>
      </w:r>
    </w:p>
    <w:p>
      <w:pPr>
        <w:pStyle w:val="Heading1"/>
        <w:keepNext/>
      </w:pPr>
      <w:r>
        <w:rPr>
          <w:rFonts w:ascii="Malgun Gothic" w:hAnsi="Malgun Gothic" w:eastAsia="Malgun Gothic"/>
          <w:b/>
          <w:color w:val="000000"/>
          <w:sz w:val="38"/>
        </w:rPr>
        <w:t>3 구체적인 협력 대안</w:t>
      </w:r>
    </w:p>
    <w:p>
      <w:pPr>
        <w:keepNext/>
        <w:widowControl/>
        <w:spacing w:after="160" w:line="355" w:lineRule="auto"/>
      </w:pPr>
      <w:r>
        <w:rPr>
          <w:rFonts w:ascii="Malgun Gothic" w:hAnsi="Malgun Gothic" w:eastAsia="Malgun Gothic"/>
          <w:color w:val="1F2937"/>
          <w:sz w:val="24"/>
        </w:rPr>
        <w:t>다음 대안은 누가, 무엇을, 언제, 어디서, 어떻게, 왜 실행하는지 분명하게 정리한 것입니다. 엘림G브릿지는 각 기관을 대신하지 않고, 현장의 필요를 적합한 전문성과 연결하는 조정자 역할을 맡습니다.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28"/>
        <w:gridCol w:w="1428"/>
        <w:gridCol w:w="1428"/>
        <w:gridCol w:w="1428"/>
        <w:gridCol w:w="1428"/>
        <w:gridCol w:w="1428"/>
        <w:gridCol w:w="1428"/>
      </w:tblGrid>
      <w:tr>
        <w:trPr>
          <w:tblHeader w:val="true"/>
          <w:cantSplit/>
        </w:trPr>
        <w:tc>
          <w:tcPr>
            <w:tcW w:type="dxa" w:w="979"/>
            <w:shd w:fill="0F20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widowControl/>
              <w:spacing w:line="283" w:lineRule="auto" w:after="0"/>
              <w:jc w:val="center"/>
            </w:pPr>
            <w:r>
              <w:rPr>
                <w:rFonts w:ascii="Malgun Gothic" w:hAnsi="Malgun Gothic" w:eastAsia="Malgun Gothic"/>
                <w:b/>
                <w:color w:val="FFFFFF"/>
                <w:sz w:val="19"/>
              </w:rPr>
              <w:t>과제</w:t>
            </w:r>
          </w:p>
        </w:tc>
        <w:tc>
          <w:tcPr>
            <w:tcW w:type="dxa" w:w="1512"/>
            <w:shd w:fill="0F20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widowControl/>
              <w:spacing w:line="283" w:lineRule="auto" w:after="0"/>
              <w:jc w:val="center"/>
            </w:pPr>
            <w:r>
              <w:rPr>
                <w:rFonts w:ascii="Malgun Gothic" w:hAnsi="Malgun Gothic" w:eastAsia="Malgun Gothic"/>
                <w:b/>
                <w:color w:val="FFFFFF"/>
                <w:sz w:val="19"/>
              </w:rPr>
              <w:t>누가</w:t>
            </w:r>
          </w:p>
        </w:tc>
        <w:tc>
          <w:tcPr>
            <w:tcW w:type="dxa" w:w="2088"/>
            <w:shd w:fill="0F20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widowControl/>
              <w:spacing w:line="283" w:lineRule="auto" w:after="0"/>
              <w:jc w:val="center"/>
            </w:pPr>
            <w:r>
              <w:rPr>
                <w:rFonts w:ascii="Malgun Gothic" w:hAnsi="Malgun Gothic" w:eastAsia="Malgun Gothic"/>
                <w:b/>
                <w:color w:val="FFFFFF"/>
                <w:sz w:val="19"/>
              </w:rPr>
              <w:t>무엇을</w:t>
            </w:r>
          </w:p>
        </w:tc>
        <w:tc>
          <w:tcPr>
            <w:tcW w:type="dxa" w:w="1296"/>
            <w:shd w:fill="0F20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widowControl/>
              <w:spacing w:line="283" w:lineRule="auto" w:after="0"/>
              <w:jc w:val="center"/>
            </w:pPr>
            <w:r>
              <w:rPr>
                <w:rFonts w:ascii="Malgun Gothic" w:hAnsi="Malgun Gothic" w:eastAsia="Malgun Gothic"/>
                <w:b/>
                <w:color w:val="FFFFFF"/>
                <w:sz w:val="19"/>
              </w:rPr>
              <w:t>언제</w:t>
            </w:r>
          </w:p>
        </w:tc>
        <w:tc>
          <w:tcPr>
            <w:tcW w:type="dxa" w:w="1368"/>
            <w:shd w:fill="0F20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widowControl/>
              <w:spacing w:line="283" w:lineRule="auto" w:after="0"/>
              <w:jc w:val="center"/>
            </w:pPr>
            <w:r>
              <w:rPr>
                <w:rFonts w:ascii="Malgun Gothic" w:hAnsi="Malgun Gothic" w:eastAsia="Malgun Gothic"/>
                <w:b/>
                <w:color w:val="FFFFFF"/>
                <w:sz w:val="19"/>
              </w:rPr>
              <w:t>어디서</w:t>
            </w:r>
          </w:p>
        </w:tc>
        <w:tc>
          <w:tcPr>
            <w:tcW w:type="dxa" w:w="1728"/>
            <w:shd w:fill="0F20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widowControl/>
              <w:spacing w:line="283" w:lineRule="auto" w:after="0"/>
              <w:jc w:val="center"/>
            </w:pPr>
            <w:r>
              <w:rPr>
                <w:rFonts w:ascii="Malgun Gothic" w:hAnsi="Malgun Gothic" w:eastAsia="Malgun Gothic"/>
                <w:b/>
                <w:color w:val="FFFFFF"/>
                <w:sz w:val="19"/>
              </w:rPr>
              <w:t>어떻게</w:t>
            </w:r>
          </w:p>
        </w:tc>
        <w:tc>
          <w:tcPr>
            <w:tcW w:type="dxa" w:w="1800"/>
            <w:shd w:fill="0F20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widowControl/>
              <w:spacing w:line="283" w:lineRule="auto" w:after="0"/>
              <w:jc w:val="center"/>
            </w:pPr>
            <w:r>
              <w:rPr>
                <w:rFonts w:ascii="Malgun Gothic" w:hAnsi="Malgun Gothic" w:eastAsia="Malgun Gothic"/>
                <w:b/>
                <w:color w:val="FFFFFF"/>
                <w:sz w:val="19"/>
              </w:rPr>
              <w:t>왜</w:t>
            </w:r>
          </w:p>
        </w:tc>
      </w:tr>
      <w:tr>
        <w:trPr>
          <w:cantSplit/>
        </w:trPr>
        <w:tc>
          <w:tcPr>
            <w:tcW w:type="dxa" w:w="97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FFFFF"/>
          </w:tcPr>
          <w:p>
            <w:pPr>
              <w:widowControl/>
              <w:spacing w:line="283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1 자원지도</w:t>
            </w:r>
          </w:p>
        </w:tc>
        <w:tc>
          <w:tcPr>
            <w:tcW w:type="dxa" w:w="15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FFFFF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엘림G브릿지와 지역별 담당자</w:t>
            </w:r>
          </w:p>
        </w:tc>
        <w:tc>
          <w:tcPr>
            <w:tcW w:type="dxa" w:w="208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FFFFF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사역자·기관·언어·대상·전문성·공간·차량·교재 목록화</w:t>
            </w:r>
          </w:p>
        </w:tc>
        <w:tc>
          <w:tcPr>
            <w:tcW w:type="dxa" w:w="129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FFFFF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30일 안에 1차 확인 후 분기 갱신</w:t>
            </w:r>
          </w:p>
        </w:tc>
        <w:tc>
          <w:tcPr>
            <w:tcW w:type="dxa" w:w="13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FFFFF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부울경 공개 웹과 내부 연락망</w:t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FFFFF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표준 입력 양식과 당사자 확인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FFFFF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필요가 생겼을 때 적합한 협력자를 빨리 찾기 위해</w:t>
            </w:r>
          </w:p>
        </w:tc>
      </w:tr>
      <w:tr>
        <w:trPr>
          <w:cantSplit/>
        </w:trPr>
        <w:tc>
          <w:tcPr>
            <w:tcW w:type="dxa" w:w="97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3F6F9"/>
          </w:tcPr>
          <w:p>
            <w:pPr>
              <w:widowControl/>
              <w:spacing w:line="283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2 사례 연결창구</w:t>
            </w:r>
          </w:p>
        </w:tc>
        <w:tc>
          <w:tcPr>
            <w:tcW w:type="dxa" w:w="15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3F6F9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엘림G브릿지 코디네이터</w:t>
            </w:r>
          </w:p>
        </w:tc>
        <w:tc>
          <w:tcPr>
            <w:tcW w:type="dxa" w:w="208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3F6F9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비자·노동·의료·가정·취업·교육 요청 접수와 인계</w:t>
            </w:r>
          </w:p>
        </w:tc>
        <w:tc>
          <w:tcPr>
            <w:tcW w:type="dxa" w:w="129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3F6F9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상시 접수  48시간 안에 1차 응답</w:t>
            </w:r>
          </w:p>
        </w:tc>
        <w:tc>
          <w:tcPr>
            <w:tcW w:type="dxa" w:w="13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3F6F9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모바일 신청과 담당자 단체방</w:t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3F6F9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사례번호·동의·담당자·진행상태 기록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3F6F9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한 사역자에게 부담이 집중되지 않게 하기 위해</w:t>
            </w:r>
          </w:p>
        </w:tc>
      </w:tr>
      <w:tr>
        <w:trPr>
          <w:cantSplit/>
        </w:trPr>
        <w:tc>
          <w:tcPr>
            <w:tcW w:type="dxa" w:w="97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FFFFF"/>
          </w:tcPr>
          <w:p>
            <w:pPr>
              <w:widowControl/>
              <w:spacing w:line="283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3 공통 사역경로</w:t>
            </w:r>
          </w:p>
        </w:tc>
        <w:tc>
          <w:tcPr>
            <w:tcW w:type="dxa" w:w="15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FFFFF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교회·센터·언어별 리더</w:t>
            </w:r>
          </w:p>
        </w:tc>
        <w:tc>
          <w:tcPr>
            <w:tcW w:type="dxa" w:w="208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FFFFF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관계–복음–양육–리더십 단계별 안내와 인계</w:t>
            </w:r>
          </w:p>
        </w:tc>
        <w:tc>
          <w:tcPr>
            <w:tcW w:type="dxa" w:w="129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FFFFF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90일 안에 2개 현장 시범</w:t>
            </w:r>
          </w:p>
        </w:tc>
        <w:tc>
          <w:tcPr>
            <w:tcW w:type="dxa" w:w="13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FFFFF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한국어교실·센터·교회</w:t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FFFFF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단계별 담당자와 다음 만남을 미리 지정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FFFFF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첫 만남이 제자화로 이어지게 하기 위해</w:t>
            </w:r>
          </w:p>
        </w:tc>
      </w:tr>
      <w:tr>
        <w:trPr>
          <w:cantSplit/>
        </w:trPr>
        <w:tc>
          <w:tcPr>
            <w:tcW w:type="dxa" w:w="97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3F6F9"/>
          </w:tcPr>
          <w:p>
            <w:pPr>
              <w:widowControl/>
              <w:spacing w:line="283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4 행정 지원팀</w:t>
            </w:r>
          </w:p>
        </w:tc>
        <w:tc>
          <w:tcPr>
            <w:tcW w:type="dxa" w:w="15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3F6F9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출입국·노무·법률 전문가와 교단 담당자</w:t>
            </w:r>
          </w:p>
        </w:tc>
        <w:tc>
          <w:tcPr>
            <w:tcW w:type="dxa" w:w="208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3F6F9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비자·근로계약·체류·사역자 신분 상담</w:t>
            </w:r>
          </w:p>
        </w:tc>
        <w:tc>
          <w:tcPr>
            <w:tcW w:type="dxa" w:w="129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3F6F9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월 1회 상담  긴급사례 수시</w:t>
            </w:r>
          </w:p>
        </w:tc>
        <w:tc>
          <w:tcPr>
            <w:tcW w:type="dxa" w:w="13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3F6F9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거점교회와 온라인</w:t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3F6F9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일반 안내와 전문 자문을 구분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3F6F9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잘못된 정보로 체류와 사역이 중단되는 일을 줄이기 위해</w:t>
            </w:r>
          </w:p>
        </w:tc>
      </w:tr>
      <w:tr>
        <w:trPr>
          <w:cantSplit/>
        </w:trPr>
        <w:tc>
          <w:tcPr>
            <w:tcW w:type="dxa" w:w="97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FFFFF"/>
          </w:tcPr>
          <w:p>
            <w:pPr>
              <w:widowControl/>
              <w:spacing w:line="283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5 다국어 자료실</w:t>
            </w:r>
          </w:p>
        </w:tc>
        <w:tc>
          <w:tcPr>
            <w:tcW w:type="dxa" w:w="15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FFFFF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언어권 사역자와 콘텐츠 편집팀</w:t>
            </w:r>
          </w:p>
        </w:tc>
        <w:tc>
          <w:tcPr>
            <w:tcW w:type="dxa" w:w="208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FFFFF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복음·정착·안전·한국어·성경교육 자료 공동 목록</w:t>
            </w:r>
          </w:p>
        </w:tc>
        <w:tc>
          <w:tcPr>
            <w:tcW w:type="dxa" w:w="129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FFFFF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60일 안에 핵심 자료 20종</w:t>
            </w:r>
          </w:p>
        </w:tc>
        <w:tc>
          <w:tcPr>
            <w:tcW w:type="dxa" w:w="13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FFFFF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모바일 웹</w:t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FFFFF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저작권·출처·언어 검수 후 링크 제공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FFFFF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자료 중복 제작과 번역 오류를 줄이기 위해</w:t>
            </w:r>
          </w:p>
        </w:tc>
      </w:tr>
      <w:tr>
        <w:trPr>
          <w:cantSplit/>
        </w:trPr>
        <w:tc>
          <w:tcPr>
            <w:tcW w:type="dxa" w:w="97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3F6F9"/>
          </w:tcPr>
          <w:p>
            <w:pPr>
              <w:widowControl/>
              <w:spacing w:line="283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6 리더 아카데미</w:t>
            </w:r>
          </w:p>
        </w:tc>
        <w:tc>
          <w:tcPr>
            <w:tcW w:type="dxa" w:w="15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3F6F9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목회자·선교사·신학교·이주민 리더</w:t>
            </w:r>
          </w:p>
        </w:tc>
        <w:tc>
          <w:tcPr>
            <w:tcW w:type="dxa" w:w="208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3F6F9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성경·리더십·통역·교회개척·BAM·디지털 교육</w:t>
            </w:r>
          </w:p>
        </w:tc>
        <w:tc>
          <w:tcPr>
            <w:tcW w:type="dxa" w:w="129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3F6F9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분기별 8주 과정</w:t>
            </w:r>
          </w:p>
        </w:tc>
        <w:tc>
          <w:tcPr>
            <w:tcW w:type="dxa" w:w="13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3F6F9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지역거점과 Zoom</w:t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3F6F9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한국인 멘토와 이주민 리더를 한 팀으로 구성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3F6F9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이주민이 사역의 주체로 서게 하기 위해</w:t>
            </w:r>
          </w:p>
        </w:tc>
      </w:tr>
      <w:tr>
        <w:trPr>
          <w:cantSplit/>
        </w:trPr>
        <w:tc>
          <w:tcPr>
            <w:tcW w:type="dxa" w:w="97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FFFFF"/>
          </w:tcPr>
          <w:p>
            <w:pPr>
              <w:widowControl/>
              <w:spacing w:line="283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7 일터 클러스터</w:t>
            </w:r>
          </w:p>
        </w:tc>
        <w:tc>
          <w:tcPr>
            <w:tcW w:type="dxa" w:w="15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FFFFF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CBMC·기업인·교회·노무 전문가</w:t>
            </w:r>
          </w:p>
        </w:tc>
        <w:tc>
          <w:tcPr>
            <w:tcW w:type="dxa" w:w="208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FFFFF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일자리 정보  직장문화  기술교육  일터예배 연결</w:t>
            </w:r>
          </w:p>
        </w:tc>
        <w:tc>
          <w:tcPr>
            <w:tcW w:type="dxa" w:w="129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FFFFF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분기별 기업 간담회</w:t>
            </w:r>
          </w:p>
        </w:tc>
        <w:tc>
          <w:tcPr>
            <w:tcW w:type="dxa" w:w="13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FFFFF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김해·거제·밀양·울산 산업현장</w:t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FFFFF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고용과 선교를 분리하고 적법한 협력 기준 운영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FFFFF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건강한 정착과 일터 공동체를 만들기 위해</w:t>
            </w:r>
          </w:p>
        </w:tc>
      </w:tr>
      <w:tr>
        <w:trPr>
          <w:cantSplit/>
        </w:trPr>
        <w:tc>
          <w:tcPr>
            <w:tcW w:type="dxa" w:w="97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3F6F9"/>
          </w:tcPr>
          <w:p>
            <w:pPr>
              <w:widowControl/>
              <w:spacing w:line="283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8 캠퍼스 네트워크</w:t>
            </w:r>
          </w:p>
        </w:tc>
        <w:tc>
          <w:tcPr>
            <w:tcW w:type="dxa" w:w="15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3F6F9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대학·유학생 담당자·지역교회</w:t>
            </w:r>
          </w:p>
        </w:tc>
        <w:tc>
          <w:tcPr>
            <w:tcW w:type="dxa" w:w="208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3F6F9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신입 유학생 환영  한국어  진로  가정교회  리더 발굴</w:t>
            </w:r>
          </w:p>
        </w:tc>
        <w:tc>
          <w:tcPr>
            <w:tcW w:type="dxa" w:w="129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3F6F9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학기 시작 전후 집중</w:t>
            </w:r>
          </w:p>
        </w:tc>
        <w:tc>
          <w:tcPr>
            <w:tcW w:type="dxa" w:w="13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3F6F9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인제대·부산외대 등</w:t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3F6F9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학교별 담당자와 교회 연결표 운영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3F6F9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유학생의 짧은 체류기간을 선교적 기회로 살리기 위해</w:t>
            </w:r>
          </w:p>
        </w:tc>
      </w:tr>
      <w:tr>
        <w:trPr>
          <w:cantSplit/>
        </w:trPr>
        <w:tc>
          <w:tcPr>
            <w:tcW w:type="dxa" w:w="97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FFFFF"/>
          </w:tcPr>
          <w:p>
            <w:pPr>
              <w:widowControl/>
              <w:spacing w:line="283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9 다음세대 돌봄</w:t>
            </w:r>
          </w:p>
        </w:tc>
        <w:tc>
          <w:tcPr>
            <w:tcW w:type="dxa" w:w="15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FFFFF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교회학교·다문화센터·학교·부모</w:t>
            </w:r>
          </w:p>
        </w:tc>
        <w:tc>
          <w:tcPr>
            <w:tcW w:type="dxa" w:w="208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FFFFF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학습·정체성·신앙·부모교육 통합 지원</w:t>
            </w:r>
          </w:p>
        </w:tc>
        <w:tc>
          <w:tcPr>
            <w:tcW w:type="dxa" w:w="129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FFFFF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학기 단위</w:t>
            </w:r>
          </w:p>
        </w:tc>
        <w:tc>
          <w:tcPr>
            <w:tcW w:type="dxa" w:w="13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FFFFF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교회·센터·가정</w:t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FFFFF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아동 보호와 보호자 동의를 전제로 사례관리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FFFFF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두 문화를 품은 다음세대 리더를 세우기 위해</w:t>
            </w:r>
          </w:p>
        </w:tc>
      </w:tr>
      <w:tr>
        <w:trPr>
          <w:cantSplit/>
        </w:trPr>
        <w:tc>
          <w:tcPr>
            <w:tcW w:type="dxa" w:w="97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3F6F9"/>
          </w:tcPr>
          <w:p>
            <w:pPr>
              <w:widowControl/>
              <w:spacing w:line="283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10 현장 백서</w:t>
            </w:r>
          </w:p>
        </w:tc>
        <w:tc>
          <w:tcPr>
            <w:tcW w:type="dxa" w:w="15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3F6F9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UGWMA와 엘림G브릿지 편집팀</w:t>
            </w:r>
          </w:p>
        </w:tc>
        <w:tc>
          <w:tcPr>
            <w:tcW w:type="dxa" w:w="208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3F6F9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사례·실패·도구·통계·협력 결과 기록</w:t>
            </w:r>
          </w:p>
        </w:tc>
        <w:tc>
          <w:tcPr>
            <w:tcW w:type="dxa" w:w="129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3F6F9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분기 기록  연 1회 발간</w:t>
            </w:r>
          </w:p>
        </w:tc>
        <w:tc>
          <w:tcPr>
            <w:tcW w:type="dxa" w:w="13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3F6F9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온라인과 인쇄물</w:t>
            </w:r>
          </w:p>
        </w:tc>
        <w:tc>
          <w:tcPr>
            <w:tcW w:type="dxa" w:w="17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3F6F9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출처·사실확인·개인정보 비식별화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F3F6F9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19"/>
              </w:rPr>
              <w:t>경험을 다음 세대가 사용할 선교 자산으로 남기기 위해</w:t>
            </w:r>
          </w:p>
        </w:tc>
      </w:tr>
    </w:tbl>
    <w:p>
      <w:pPr>
        <w:widowControl/>
        <w:spacing w:after="160" w:line="355" w:lineRule="auto"/>
      </w:pPr>
    </w:p>
    <w:p>
      <w:pPr>
        <w:pStyle w:val="Heading2"/>
        <w:keepNext/>
      </w:pPr>
      <w:r>
        <w:rPr>
          <w:rFonts w:ascii="Malgun Gothic" w:hAnsi="Malgun Gothic" w:eastAsia="Malgun Gothic"/>
          <w:b/>
          <w:color w:val="000000"/>
          <w:sz w:val="30"/>
        </w:rPr>
        <w:t>대안별 우선순위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8"/>
        <w:gridCol w:w="2498"/>
        <w:gridCol w:w="2498"/>
        <w:gridCol w:w="2498"/>
      </w:tblGrid>
      <w:tr>
        <w:trPr>
          <w:tblHeader w:val="true"/>
          <w:cantSplit/>
        </w:trPr>
        <w:tc>
          <w:tcPr>
            <w:tcW w:type="dxa" w:w="1440"/>
            <w:shd w:fill="0F20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b/>
                <w:color w:val="FFFFFF"/>
                <w:sz w:val="22"/>
              </w:rPr>
              <w:t>구분</w:t>
            </w:r>
          </w:p>
        </w:tc>
        <w:tc>
          <w:tcPr>
            <w:tcW w:type="dxa" w:w="2880"/>
            <w:shd w:fill="0F20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b/>
                <w:color w:val="FFFFFF"/>
                <w:sz w:val="22"/>
              </w:rPr>
              <w:t>즉시 실행</w:t>
            </w:r>
          </w:p>
        </w:tc>
        <w:tc>
          <w:tcPr>
            <w:tcW w:type="dxa" w:w="2880"/>
            <w:shd w:fill="0F20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b/>
                <w:color w:val="FFFFFF"/>
                <w:sz w:val="22"/>
              </w:rPr>
              <w:t>준비 후 실행</w:t>
            </w:r>
          </w:p>
        </w:tc>
        <w:tc>
          <w:tcPr>
            <w:tcW w:type="dxa" w:w="2880"/>
            <w:shd w:fill="0F20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b/>
                <w:color w:val="FFFFFF"/>
                <w:sz w:val="22"/>
              </w:rPr>
              <w:t>장기 구축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1"/>
              </w:rPr>
              <w:t>과제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1"/>
              </w:rPr>
              <w:t>자원지도  사례 연결창구  공통 사역경로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1"/>
              </w:rPr>
              <w:t>행정 지원팀  다국어 자료실  일터·캠퍼스 네트워크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1"/>
              </w:rPr>
              <w:t>리더 아카데미  다음세대 사례관리  현장 백서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1"/>
              </w:rPr>
              <w:t>선정 기준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1"/>
              </w:rPr>
              <w:t>비용이 적고 연결 효과가 즉시 나타남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1"/>
              </w:rPr>
              <w:t>전문가와 기관 간 역할 합의가 필요함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1"/>
              </w:rPr>
              <w:t>교육과 기록이 누적되어야 성과가 나타남</w:t>
            </w:r>
          </w:p>
        </w:tc>
      </w:tr>
    </w:tbl>
    <w:p>
      <w:pPr>
        <w:widowControl/>
        <w:spacing w:after="160" w:line="355" w:lineRule="auto"/>
      </w:pPr>
    </w:p>
    <w:p>
      <w:pPr>
        <w:widowControl/>
        <w:spacing w:line="355" w:lineRule="auto" w:after="160"/>
      </w:pPr>
      <w:r>
        <w:rPr>
          <w:rFonts w:ascii="Malgun Gothic" w:hAnsi="Malgun Gothic" w:eastAsia="Malgun Gothic"/>
          <w:color w:val="1F2937"/>
          <w:sz w:val="24"/>
        </w:rPr>
        <w:br w:type="page"/>
      </w:r>
    </w:p>
    <w:p>
      <w:pPr>
        <w:pStyle w:val="Heading1"/>
        <w:keepNext/>
      </w:pPr>
      <w:r>
        <w:rPr>
          <w:rFonts w:ascii="Malgun Gothic" w:hAnsi="Malgun Gothic" w:eastAsia="Malgun Gothic"/>
          <w:b/>
          <w:color w:val="000000"/>
          <w:sz w:val="38"/>
        </w:rPr>
        <w:t>4 엘림G브릿지 디지털 협력 인프라</w:t>
      </w:r>
    </w:p>
    <w:p>
      <w:pPr>
        <w:keepNext/>
        <w:widowControl/>
        <w:spacing w:after="160" w:line="355" w:lineRule="auto"/>
      </w:pPr>
      <w:r>
        <w:rPr>
          <w:rFonts w:ascii="Malgun Gothic" w:hAnsi="Malgun Gothic" w:eastAsia="Malgun Gothic"/>
          <w:color w:val="1F2937"/>
          <w:sz w:val="24"/>
        </w:rPr>
        <w:t>AI 시대의 디지털화는 사람을 기술로 대체하는 일이 아닙니다. 흩어진 현장 경험과 전문성을 더 빨리 발견하고, 언어와 거리의 장벽을 낮추며, 연결 이후의 진행 상황을 잃어버리지 않게 하는 도구입니다.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8"/>
        <w:gridCol w:w="2498"/>
        <w:gridCol w:w="2498"/>
        <w:gridCol w:w="2498"/>
      </w:tblGrid>
      <w:tr>
        <w:trPr>
          <w:tblHeader w:val="true"/>
          <w:cantSplit/>
        </w:trPr>
        <w:tc>
          <w:tcPr>
            <w:tcW w:type="dxa" w:w="1944"/>
            <w:shd w:fill="0F20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b/>
                <w:color w:val="FFFFFF"/>
                <w:sz w:val="22"/>
              </w:rPr>
              <w:t>디지털 구성</w:t>
            </w:r>
          </w:p>
        </w:tc>
        <w:tc>
          <w:tcPr>
            <w:tcW w:type="dxa" w:w="3096"/>
            <w:shd w:fill="0F20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b/>
                <w:color w:val="FFFFFF"/>
                <w:sz w:val="22"/>
              </w:rPr>
              <w:t>주요 기능</w:t>
            </w:r>
          </w:p>
        </w:tc>
        <w:tc>
          <w:tcPr>
            <w:tcW w:type="dxa" w:w="2880"/>
            <w:shd w:fill="0F20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b/>
                <w:color w:val="FFFFFF"/>
                <w:sz w:val="22"/>
              </w:rPr>
              <w:t>현장 효과</w:t>
            </w:r>
          </w:p>
        </w:tc>
        <w:tc>
          <w:tcPr>
            <w:tcW w:type="dxa" w:w="2232"/>
            <w:shd w:fill="0F20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b/>
                <w:color w:val="FFFFFF"/>
                <w:sz w:val="22"/>
              </w:rPr>
              <w:t>필수 보호장치</w:t>
            </w:r>
          </w:p>
        </w:tc>
      </w:tr>
      <w:tr>
        <w:trPr>
          <w:cantSplit/>
        </w:trPr>
        <w:tc>
          <w:tcPr>
            <w:tcW w:type="dxa" w:w="19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1"/>
              </w:rPr>
              <w:t>사역자·기관 상세페이지</w:t>
            </w:r>
          </w:p>
        </w:tc>
        <w:tc>
          <w:tcPr>
            <w:tcW w:type="dxa" w:w="309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1"/>
              </w:rPr>
              <w:t>지역  언어  대상  전문성  공식 링크  문의 방법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1"/>
              </w:rPr>
              <w:t>누구에게 무엇을 요청할지 분명해짐</w:t>
            </w:r>
          </w:p>
        </w:tc>
        <w:tc>
          <w:tcPr>
            <w:tcW w:type="dxa" w:w="223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1"/>
              </w:rPr>
              <w:t>본인 확인  수정·삭제 요청</w:t>
            </w:r>
          </w:p>
        </w:tc>
      </w:tr>
      <w:tr>
        <w:trPr>
          <w:cantSplit/>
        </w:trPr>
        <w:tc>
          <w:tcPr>
            <w:tcW w:type="dxa" w:w="19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1"/>
              </w:rPr>
              <w:t>부울경 자원지도</w:t>
            </w:r>
          </w:p>
        </w:tc>
        <w:tc>
          <w:tcPr>
            <w:tcW w:type="dxa" w:w="309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1"/>
              </w:rPr>
              <w:t>지역별 교회·센터·대학·기업·전문가 검색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1"/>
              </w:rPr>
              <w:t>거리와 분야에 맞는 연결 속도 향상</w:t>
            </w:r>
          </w:p>
        </w:tc>
        <w:tc>
          <w:tcPr>
            <w:tcW w:type="dxa" w:w="223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1"/>
              </w:rPr>
              <w:t>주소·연락처 공개 범위 관리</w:t>
            </w:r>
          </w:p>
        </w:tc>
      </w:tr>
      <w:tr>
        <w:trPr>
          <w:cantSplit/>
        </w:trPr>
        <w:tc>
          <w:tcPr>
            <w:tcW w:type="dxa" w:w="19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1"/>
              </w:rPr>
              <w:t>협력 요청 양식</w:t>
            </w:r>
          </w:p>
        </w:tc>
        <w:tc>
          <w:tcPr>
            <w:tcW w:type="dxa" w:w="309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1"/>
              </w:rPr>
              <w:t>필요 유형  긴급도  언어  지역  동의 여부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1"/>
              </w:rPr>
              <w:t>요청 누락과 중복 연락 감소</w:t>
            </w:r>
          </w:p>
        </w:tc>
        <w:tc>
          <w:tcPr>
            <w:tcW w:type="dxa" w:w="223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1"/>
              </w:rPr>
              <w:t>민감정보 최소 수집</w:t>
            </w:r>
          </w:p>
        </w:tc>
      </w:tr>
      <w:tr>
        <w:trPr>
          <w:cantSplit/>
        </w:trPr>
        <w:tc>
          <w:tcPr>
            <w:tcW w:type="dxa" w:w="19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1"/>
              </w:rPr>
              <w:t>사례 진행판</w:t>
            </w:r>
          </w:p>
        </w:tc>
        <w:tc>
          <w:tcPr>
            <w:tcW w:type="dxa" w:w="309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1"/>
              </w:rPr>
              <w:t>접수  담당 배정  진행  종료  후속 확인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1"/>
              </w:rPr>
              <w:t>책임과 다음 행동이 분명해짐</w:t>
            </w:r>
          </w:p>
        </w:tc>
        <w:tc>
          <w:tcPr>
            <w:tcW w:type="dxa" w:w="223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1"/>
              </w:rPr>
              <w:t>내부 접근 제한  보존기간 설정</w:t>
            </w:r>
          </w:p>
        </w:tc>
      </w:tr>
      <w:tr>
        <w:trPr>
          <w:cantSplit/>
        </w:trPr>
        <w:tc>
          <w:tcPr>
            <w:tcW w:type="dxa" w:w="19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1"/>
              </w:rPr>
              <w:t>다국어 자료실</w:t>
            </w:r>
          </w:p>
        </w:tc>
        <w:tc>
          <w:tcPr>
            <w:tcW w:type="dxa" w:w="309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1"/>
              </w:rPr>
              <w:t>검증된 번역자료  교육 영상  활용 설명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1"/>
              </w:rPr>
              <w:t>현장에서 바로 사용 가능</w:t>
            </w:r>
          </w:p>
        </w:tc>
        <w:tc>
          <w:tcPr>
            <w:tcW w:type="dxa" w:w="223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1"/>
              </w:rPr>
              <w:t>저작권  번역 검수  버전 표시</w:t>
            </w:r>
          </w:p>
        </w:tc>
      </w:tr>
      <w:tr>
        <w:trPr>
          <w:cantSplit/>
        </w:trPr>
        <w:tc>
          <w:tcPr>
            <w:tcW w:type="dxa" w:w="19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1"/>
              </w:rPr>
              <w:t>AI 번역과 요약</w:t>
            </w:r>
          </w:p>
        </w:tc>
        <w:tc>
          <w:tcPr>
            <w:tcW w:type="dxa" w:w="309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1"/>
              </w:rPr>
              <w:t>초기 의사소통  회의록  자료 초안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1"/>
              </w:rPr>
              <w:t>언어 장벽과 기록 부담 감소</w:t>
            </w:r>
          </w:p>
        </w:tc>
        <w:tc>
          <w:tcPr>
            <w:tcW w:type="dxa" w:w="223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1"/>
              </w:rPr>
              <w:t>사람의 최종 검토  민감정보 비입력</w:t>
            </w:r>
          </w:p>
        </w:tc>
      </w:tr>
    </w:tbl>
    <w:p>
      <w:pPr>
        <w:widowControl/>
        <w:spacing w:after="160" w:line="355" w:lineRule="auto"/>
      </w:pPr>
    </w:p>
    <w:p>
      <w:pPr>
        <w:pStyle w:val="Heading2"/>
        <w:keepNext/>
      </w:pPr>
      <w:r>
        <w:rPr>
          <w:rFonts w:ascii="Malgun Gothic" w:hAnsi="Malgun Gothic" w:eastAsia="Malgun Gothic"/>
          <w:b/>
          <w:color w:val="2D6A4F"/>
          <w:sz w:val="30"/>
        </w:rPr>
        <w:t>연결의 효력이 커지는 이유</w:t>
      </w:r>
    </w:p>
    <w:p>
      <w:pPr>
        <w:pStyle w:val="ListBullet"/>
        <w:widowControl/>
        <w:spacing w:after="100" w:line="331" w:lineRule="auto"/>
        <w:ind w:left="317" w:hanging="230"/>
      </w:pPr>
      <w:r>
        <w:rPr>
          <w:rFonts w:ascii="Malgun Gothic" w:hAnsi="Malgun Gothic" w:eastAsia="Malgun Gothic"/>
          <w:b/>
          <w:color w:val="1F2937"/>
          <w:sz w:val="24"/>
        </w:rPr>
        <w:t xml:space="preserve">발견 시간이 짧아집니다.  </w:t>
      </w:r>
      <w:r>
        <w:rPr>
          <w:rFonts w:ascii="Malgun Gothic" w:hAnsi="Malgun Gothic" w:eastAsia="Malgun Gothic"/>
          <w:color w:val="1F2937"/>
          <w:sz w:val="24"/>
        </w:rPr>
        <w:t>사역자가 지인을 수소문하지 않아도 지역과 전문성으로 협력자를 찾습니다.</w:t>
      </w:r>
    </w:p>
    <w:p>
      <w:pPr>
        <w:pStyle w:val="ListBullet"/>
        <w:widowControl/>
        <w:spacing w:after="100" w:line="331" w:lineRule="auto"/>
        <w:ind w:left="317" w:hanging="230"/>
      </w:pPr>
      <w:r>
        <w:rPr>
          <w:rFonts w:ascii="Malgun Gothic" w:hAnsi="Malgun Gothic" w:eastAsia="Malgun Gothic"/>
          <w:b/>
          <w:color w:val="1F2937"/>
          <w:sz w:val="24"/>
        </w:rPr>
        <w:t xml:space="preserve">중복이 줄어듭니다.  </w:t>
      </w:r>
      <w:r>
        <w:rPr>
          <w:rFonts w:ascii="Malgun Gothic" w:hAnsi="Malgun Gothic" w:eastAsia="Malgun Gothic"/>
          <w:color w:val="1F2937"/>
          <w:sz w:val="24"/>
        </w:rPr>
        <w:t>이미 있는 교재·통역·공간·프로그램을 확인한 뒤 새로 만듭니다.</w:t>
      </w:r>
    </w:p>
    <w:p>
      <w:pPr>
        <w:pStyle w:val="ListBullet"/>
        <w:widowControl/>
        <w:spacing w:after="100" w:line="331" w:lineRule="auto"/>
        <w:ind w:left="317" w:hanging="230"/>
      </w:pPr>
      <w:r>
        <w:rPr>
          <w:rFonts w:ascii="Malgun Gothic" w:hAnsi="Malgun Gothic" w:eastAsia="Malgun Gothic"/>
          <w:b/>
          <w:color w:val="1F2937"/>
          <w:sz w:val="24"/>
        </w:rPr>
        <w:t xml:space="preserve">책임이 분명해집니다.  </w:t>
      </w:r>
      <w:r>
        <w:rPr>
          <w:rFonts w:ascii="Malgun Gothic" w:hAnsi="Malgun Gothic" w:eastAsia="Malgun Gothic"/>
          <w:color w:val="1F2937"/>
          <w:sz w:val="24"/>
        </w:rPr>
        <w:t>요청을 누가 받았고 다음 행동이 무엇인지 기록합니다.</w:t>
      </w:r>
    </w:p>
    <w:p>
      <w:pPr>
        <w:pStyle w:val="ListBullet"/>
        <w:widowControl/>
        <w:spacing w:after="100" w:line="331" w:lineRule="auto"/>
        <w:ind w:left="317" w:hanging="230"/>
      </w:pPr>
      <w:r>
        <w:rPr>
          <w:rFonts w:ascii="Malgun Gothic" w:hAnsi="Malgun Gothic" w:eastAsia="Malgun Gothic"/>
          <w:b/>
          <w:color w:val="1F2937"/>
          <w:sz w:val="24"/>
        </w:rPr>
        <w:t xml:space="preserve">경험이 자산이 됩니다.  </w:t>
      </w:r>
      <w:r>
        <w:rPr>
          <w:rFonts w:ascii="Malgun Gothic" w:hAnsi="Malgun Gothic" w:eastAsia="Malgun Gothic"/>
          <w:color w:val="1F2937"/>
          <w:sz w:val="24"/>
        </w:rPr>
        <w:t>한 번 해결한 사례가 다음 현장의 안내서가 됩니다.</w:t>
      </w:r>
    </w:p>
    <w:p>
      <w:pPr>
        <w:pStyle w:val="ListBullet"/>
        <w:widowControl/>
        <w:spacing w:after="100" w:line="331" w:lineRule="auto"/>
        <w:ind w:left="317" w:hanging="230"/>
      </w:pPr>
      <w:r>
        <w:rPr>
          <w:rFonts w:ascii="Malgun Gothic" w:hAnsi="Malgun Gothic" w:eastAsia="Malgun Gothic"/>
          <w:b/>
          <w:color w:val="1F2937"/>
          <w:sz w:val="24"/>
        </w:rPr>
        <w:t xml:space="preserve">작은 기관도 보입니다.  </w:t>
      </w:r>
      <w:r>
        <w:rPr>
          <w:rFonts w:ascii="Malgun Gothic" w:hAnsi="Malgun Gothic" w:eastAsia="Malgun Gothic"/>
          <w:color w:val="1F2937"/>
          <w:sz w:val="24"/>
        </w:rPr>
        <w:t>홈페이지가 없던 사역도 상세페이지를 통해 전문성과 필요를 알릴 수 있습니다.</w:t>
      </w:r>
    </w:p>
    <w:p>
      <w:pPr>
        <w:pStyle w:val="Heading2"/>
        <w:keepNext/>
      </w:pPr>
      <w:r>
        <w:rPr>
          <w:rFonts w:ascii="Malgun Gothic" w:hAnsi="Malgun Gothic" w:eastAsia="Malgun Gothic"/>
          <w:b/>
          <w:color w:val="000000"/>
          <w:sz w:val="30"/>
        </w:rPr>
        <w:t>엘림G브릿지의 역할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rPr>
          <w:tblHeader w:val="true"/>
          <w:cantSplit/>
        </w:trPr>
        <w:tc>
          <w:tcPr>
            <w:tcW w:type="dxa" w:w="1368"/>
            <w:shd w:fill="0F20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b/>
                <w:color w:val="FFFFFF"/>
                <w:sz w:val="22"/>
              </w:rPr>
              <w:t>역할</w:t>
            </w:r>
          </w:p>
        </w:tc>
        <w:tc>
          <w:tcPr>
            <w:tcW w:type="dxa" w:w="4320"/>
            <w:shd w:fill="0F20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b/>
                <w:color w:val="FFFFFF"/>
                <w:sz w:val="22"/>
              </w:rPr>
              <w:t>수행 내용</w:t>
            </w:r>
          </w:p>
        </w:tc>
        <w:tc>
          <w:tcPr>
            <w:tcW w:type="dxa" w:w="4320"/>
            <w:shd w:fill="0F20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b/>
                <w:color w:val="FFFFFF"/>
                <w:sz w:val="22"/>
              </w:rPr>
              <w:t>하지 않는 일</w:t>
            </w:r>
          </w:p>
        </w:tc>
      </w:tr>
      <w:tr>
        <w:trPr>
          <w:cantSplit/>
        </w:trPr>
        <w:tc>
          <w:tcPr>
            <w:tcW w:type="dxa" w:w="13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발견</w:t>
            </w:r>
          </w:p>
        </w:tc>
        <w:tc>
          <w:tcPr>
            <w:tcW w:type="dxa" w:w="43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현장 필요와 보유 자원을 듣고 표준 정보로 정리</w:t>
            </w:r>
          </w:p>
        </w:tc>
        <w:tc>
          <w:tcPr>
            <w:tcW w:type="dxa" w:w="43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당사자 확인 없이 정보 공개</w:t>
            </w:r>
          </w:p>
        </w:tc>
      </w:tr>
      <w:tr>
        <w:trPr>
          <w:cantSplit/>
        </w:trPr>
        <w:tc>
          <w:tcPr>
            <w:tcW w:type="dxa" w:w="13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연결</w:t>
            </w:r>
          </w:p>
        </w:tc>
        <w:tc>
          <w:tcPr>
            <w:tcW w:type="dxa" w:w="43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지역·언어·전문성에 맞는 협력자 소개</w:t>
            </w:r>
          </w:p>
        </w:tc>
        <w:tc>
          <w:tcPr>
            <w:tcW w:type="dxa" w:w="43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전문 자격이 필요한 업무를 임의로 판단</w:t>
            </w:r>
          </w:p>
        </w:tc>
      </w:tr>
      <w:tr>
        <w:trPr>
          <w:cantSplit/>
        </w:trPr>
        <w:tc>
          <w:tcPr>
            <w:tcW w:type="dxa" w:w="13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가시화</w:t>
            </w:r>
          </w:p>
        </w:tc>
        <w:tc>
          <w:tcPr>
            <w:tcW w:type="dxa" w:w="43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홈페이지와 상세페이지로 사역을 알림</w:t>
            </w:r>
          </w:p>
        </w:tc>
        <w:tc>
          <w:tcPr>
            <w:tcW w:type="dxa" w:w="43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성과를 과장하거나 확인되지 않은 경력을 표시</w:t>
            </w:r>
          </w:p>
        </w:tc>
      </w:tr>
      <w:tr>
        <w:trPr>
          <w:cantSplit/>
        </w:trPr>
        <w:tc>
          <w:tcPr>
            <w:tcW w:type="dxa" w:w="13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기록</w:t>
            </w:r>
          </w:p>
        </w:tc>
        <w:tc>
          <w:tcPr>
            <w:tcW w:type="dxa" w:w="43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협력 과정과 결과를 다음 사역에 활용</w:t>
            </w:r>
          </w:p>
        </w:tc>
        <w:tc>
          <w:tcPr>
            <w:tcW w:type="dxa" w:w="43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민감한 개인정보와 상담 내용을 공개</w:t>
            </w:r>
          </w:p>
        </w:tc>
      </w:tr>
      <w:tr>
        <w:trPr>
          <w:cantSplit/>
        </w:trPr>
        <w:tc>
          <w:tcPr>
            <w:tcW w:type="dxa" w:w="13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학습</w:t>
            </w:r>
          </w:p>
        </w:tc>
        <w:tc>
          <w:tcPr>
            <w:tcW w:type="dxa" w:w="43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사례를 평가하고 재사용 가능한 모델로 정리</w:t>
            </w:r>
          </w:p>
        </w:tc>
        <w:tc>
          <w:tcPr>
            <w:tcW w:type="dxa" w:w="43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한 기관의 방식으로 모든 현장을 통제</w:t>
            </w:r>
          </w:p>
        </w:tc>
      </w:tr>
    </w:tbl>
    <w:p>
      <w:pPr>
        <w:widowControl/>
        <w:spacing w:after="160" w:line="355" w:lineRule="auto"/>
      </w:pPr>
    </w:p>
    <w:p>
      <w:pPr>
        <w:widowControl/>
        <w:spacing w:line="355" w:lineRule="auto" w:after="160"/>
      </w:pPr>
      <w:r>
        <w:rPr>
          <w:rFonts w:ascii="Malgun Gothic" w:hAnsi="Malgun Gothic" w:eastAsia="Malgun Gothic"/>
          <w:color w:val="1F2937"/>
          <w:sz w:val="24"/>
        </w:rPr>
        <w:br w:type="page"/>
      </w:r>
    </w:p>
    <w:p>
      <w:pPr>
        <w:pStyle w:val="Heading1"/>
        <w:keepNext/>
      </w:pPr>
      <w:r>
        <w:rPr>
          <w:rFonts w:ascii="Malgun Gothic" w:hAnsi="Malgun Gothic" w:eastAsia="Malgun Gothic"/>
          <w:b/>
          <w:color w:val="000000"/>
          <w:sz w:val="38"/>
        </w:rPr>
        <w:t>5 30일 60일 90일 실행계획</w:t>
      </w:r>
    </w:p>
    <w:p>
      <w:pPr>
        <w:keepNext/>
        <w:widowControl/>
        <w:spacing w:after="160" w:line="355" w:lineRule="auto"/>
      </w:pPr>
      <w:r>
        <w:rPr>
          <w:rFonts w:ascii="Malgun Gothic" w:hAnsi="Malgun Gothic" w:eastAsia="Malgun Gothic"/>
          <w:color w:val="1F2937"/>
          <w:sz w:val="24"/>
        </w:rPr>
        <w:t>첫 90일의 목적은 완성된 대형 플랫폼을 만드는 것이 아닙니다. 실제 현장에서 한두 개의 문제를 연결하여 해결하고, 그 과정을 반복 가능한 구조로 만드는 것입니다.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99"/>
        <w:gridCol w:w="1999"/>
        <w:gridCol w:w="1999"/>
        <w:gridCol w:w="1999"/>
        <w:gridCol w:w="1999"/>
      </w:tblGrid>
      <w:tr>
        <w:trPr>
          <w:tblHeader w:val="true"/>
          <w:cantSplit/>
        </w:trPr>
        <w:tc>
          <w:tcPr>
            <w:tcW w:type="dxa" w:w="1080"/>
            <w:shd w:fill="0F20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widowControl/>
              <w:spacing w:line="283" w:lineRule="auto" w:after="0"/>
              <w:jc w:val="center"/>
            </w:pPr>
            <w:r>
              <w:rPr>
                <w:rFonts w:ascii="Malgun Gothic" w:hAnsi="Malgun Gothic" w:eastAsia="Malgun Gothic"/>
                <w:b/>
                <w:color w:val="FFFFFF"/>
                <w:sz w:val="21"/>
              </w:rPr>
              <w:t>기간</w:t>
            </w:r>
          </w:p>
        </w:tc>
        <w:tc>
          <w:tcPr>
            <w:tcW w:type="dxa" w:w="1656"/>
            <w:shd w:fill="0F20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widowControl/>
              <w:spacing w:line="283" w:lineRule="auto" w:after="0"/>
              <w:jc w:val="center"/>
            </w:pPr>
            <w:r>
              <w:rPr>
                <w:rFonts w:ascii="Malgun Gothic" w:hAnsi="Malgun Gothic" w:eastAsia="Malgun Gothic"/>
                <w:b/>
                <w:color w:val="FFFFFF"/>
                <w:sz w:val="21"/>
              </w:rPr>
              <w:t>핵심 목표</w:t>
            </w:r>
          </w:p>
        </w:tc>
        <w:tc>
          <w:tcPr>
            <w:tcW w:type="dxa" w:w="3672"/>
            <w:shd w:fill="0F20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widowControl/>
              <w:spacing w:line="283" w:lineRule="auto" w:after="0"/>
              <w:jc w:val="center"/>
            </w:pPr>
            <w:r>
              <w:rPr>
                <w:rFonts w:ascii="Malgun Gothic" w:hAnsi="Malgun Gothic" w:eastAsia="Malgun Gothic"/>
                <w:b/>
                <w:color w:val="FFFFFF"/>
                <w:sz w:val="21"/>
              </w:rPr>
              <w:t>구체 과업</w:t>
            </w:r>
          </w:p>
        </w:tc>
        <w:tc>
          <w:tcPr>
            <w:tcW w:type="dxa" w:w="1944"/>
            <w:shd w:fill="0F20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widowControl/>
              <w:spacing w:line="283" w:lineRule="auto" w:after="0"/>
              <w:jc w:val="center"/>
            </w:pPr>
            <w:r>
              <w:rPr>
                <w:rFonts w:ascii="Malgun Gothic" w:hAnsi="Malgun Gothic" w:eastAsia="Malgun Gothic"/>
                <w:b/>
                <w:color w:val="FFFFFF"/>
                <w:sz w:val="21"/>
              </w:rPr>
              <w:t>책임 주체</w:t>
            </w:r>
          </w:p>
        </w:tc>
        <w:tc>
          <w:tcPr>
            <w:tcW w:type="dxa" w:w="1800"/>
            <w:shd w:fill="0F20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</w:tcPr>
          <w:p>
            <w:pPr>
              <w:widowControl/>
              <w:spacing w:line="283" w:lineRule="auto" w:after="0"/>
              <w:jc w:val="center"/>
            </w:pPr>
            <w:r>
              <w:rPr>
                <w:rFonts w:ascii="Malgun Gothic" w:hAnsi="Malgun Gothic" w:eastAsia="Malgun Gothic"/>
                <w:b/>
                <w:color w:val="FFFFFF"/>
                <w:sz w:val="21"/>
              </w:rPr>
              <w:t>완료 기준</w:t>
            </w:r>
          </w:p>
        </w:tc>
      </w:tr>
      <w:tr>
        <w:trPr>
          <w:cantSplit/>
        </w:trPr>
        <w:tc>
          <w:tcPr>
            <w:tcW w:type="dxa" w:w="10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  <w:shd w:fill="FFFFFF"/>
          </w:tcPr>
          <w:p>
            <w:pPr>
              <w:widowControl/>
              <w:spacing w:line="283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0"/>
              </w:rPr>
              <w:t>1주</w:t>
            </w:r>
          </w:p>
        </w:tc>
        <w:tc>
          <w:tcPr>
            <w:tcW w:type="dxa" w:w="16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  <w:shd w:fill="FFFFFF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20"/>
              </w:rPr>
              <w:t>운영팀 구성</w:t>
            </w:r>
          </w:p>
        </w:tc>
        <w:tc>
          <w:tcPr>
            <w:tcW w:type="dxa" w:w="367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  <w:shd w:fill="FFFFFF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20"/>
              </w:rPr>
              <w:t>총괄  지역담당  정보관리  사례연결  기록 담당 지정</w:t>
            </w:r>
          </w:p>
        </w:tc>
        <w:tc>
          <w:tcPr>
            <w:tcW w:type="dxa" w:w="19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  <w:shd w:fill="FFFFFF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20"/>
              </w:rPr>
              <w:t>엘림G브릿지와 UGWMA 협력자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  <w:shd w:fill="FFFFFF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20"/>
              </w:rPr>
              <w:t>담당자와 연락 체계 확정</w:t>
            </w:r>
          </w:p>
        </w:tc>
      </w:tr>
      <w:tr>
        <w:trPr>
          <w:cantSplit/>
        </w:trPr>
        <w:tc>
          <w:tcPr>
            <w:tcW w:type="dxa" w:w="10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  <w:shd w:fill="F3F6F9"/>
          </w:tcPr>
          <w:p>
            <w:pPr>
              <w:widowControl/>
              <w:spacing w:line="283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0"/>
              </w:rPr>
              <w:t>2주</w:t>
            </w:r>
          </w:p>
        </w:tc>
        <w:tc>
          <w:tcPr>
            <w:tcW w:type="dxa" w:w="16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  <w:shd w:fill="F3F6F9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20"/>
              </w:rPr>
              <w:t>정보 기준 확정</w:t>
            </w:r>
          </w:p>
        </w:tc>
        <w:tc>
          <w:tcPr>
            <w:tcW w:type="dxa" w:w="367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  <w:shd w:fill="F3F6F9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20"/>
              </w:rPr>
              <w:t>참여자·기관 표준 양식  공개범위  확인상태 기준 마련</w:t>
            </w:r>
          </w:p>
        </w:tc>
        <w:tc>
          <w:tcPr>
            <w:tcW w:type="dxa" w:w="19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  <w:shd w:fill="F3F6F9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20"/>
              </w:rPr>
              <w:t>정보관리팀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  <w:shd w:fill="F3F6F9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20"/>
              </w:rPr>
              <w:t>공통 양식 승인</w:t>
            </w:r>
          </w:p>
        </w:tc>
      </w:tr>
      <w:tr>
        <w:trPr>
          <w:cantSplit/>
        </w:trPr>
        <w:tc>
          <w:tcPr>
            <w:tcW w:type="dxa" w:w="10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  <w:shd w:fill="FFFFFF"/>
          </w:tcPr>
          <w:p>
            <w:pPr>
              <w:widowControl/>
              <w:spacing w:line="283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0"/>
              </w:rPr>
              <w:t>3주</w:t>
            </w:r>
          </w:p>
        </w:tc>
        <w:tc>
          <w:tcPr>
            <w:tcW w:type="dxa" w:w="16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  <w:shd w:fill="FFFFFF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20"/>
              </w:rPr>
              <w:t>자원 조사</w:t>
            </w:r>
          </w:p>
        </w:tc>
        <w:tc>
          <w:tcPr>
            <w:tcW w:type="dxa" w:w="367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  <w:shd w:fill="FFFFFF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20"/>
              </w:rPr>
              <w:t>지역·언어·대상·전문성·공간·교재·통역 자원 수집</w:t>
            </w:r>
          </w:p>
        </w:tc>
        <w:tc>
          <w:tcPr>
            <w:tcW w:type="dxa" w:w="19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  <w:shd w:fill="FFFFFF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20"/>
              </w:rPr>
              <w:t>지역담당자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  <w:shd w:fill="FFFFFF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20"/>
              </w:rPr>
              <w:t>핵심기관 30곳 이상 확인</w:t>
            </w:r>
          </w:p>
        </w:tc>
      </w:tr>
      <w:tr>
        <w:trPr>
          <w:cantSplit/>
        </w:trPr>
        <w:tc>
          <w:tcPr>
            <w:tcW w:type="dxa" w:w="10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  <w:shd w:fill="F3F6F9"/>
          </w:tcPr>
          <w:p>
            <w:pPr>
              <w:widowControl/>
              <w:spacing w:line="283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0"/>
              </w:rPr>
              <w:t>4주</w:t>
            </w:r>
          </w:p>
        </w:tc>
        <w:tc>
          <w:tcPr>
            <w:tcW w:type="dxa" w:w="16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  <w:shd w:fill="F3F6F9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20"/>
              </w:rPr>
              <w:t>공개 지도 1차</w:t>
            </w:r>
          </w:p>
        </w:tc>
        <w:tc>
          <w:tcPr>
            <w:tcW w:type="dxa" w:w="367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  <w:shd w:fill="F3F6F9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20"/>
              </w:rPr>
              <w:t>확인된 정보만 웹에 반영하고 정정 창구 안내</w:t>
            </w:r>
          </w:p>
        </w:tc>
        <w:tc>
          <w:tcPr>
            <w:tcW w:type="dxa" w:w="19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  <w:shd w:fill="F3F6F9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20"/>
              </w:rPr>
              <w:t>디지털팀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  <w:shd w:fill="F3F6F9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20"/>
              </w:rPr>
              <w:t>모바일 검색과 연락 연결 작동</w:t>
            </w:r>
          </w:p>
        </w:tc>
      </w:tr>
      <w:tr>
        <w:trPr>
          <w:cantSplit/>
        </w:trPr>
        <w:tc>
          <w:tcPr>
            <w:tcW w:type="dxa" w:w="10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  <w:shd w:fill="FFFFFF"/>
          </w:tcPr>
          <w:p>
            <w:pPr>
              <w:widowControl/>
              <w:spacing w:line="283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0"/>
              </w:rPr>
              <w:t>5 6주</w:t>
            </w:r>
          </w:p>
        </w:tc>
        <w:tc>
          <w:tcPr>
            <w:tcW w:type="dxa" w:w="16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  <w:shd w:fill="FFFFFF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20"/>
              </w:rPr>
              <w:t>사례 연결 시험</w:t>
            </w:r>
          </w:p>
        </w:tc>
        <w:tc>
          <w:tcPr>
            <w:tcW w:type="dxa" w:w="367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  <w:shd w:fill="FFFFFF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20"/>
              </w:rPr>
              <w:t>비자·취업·교육·돌봄 사례 3건 접수와 담당 배정</w:t>
            </w:r>
          </w:p>
        </w:tc>
        <w:tc>
          <w:tcPr>
            <w:tcW w:type="dxa" w:w="19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  <w:shd w:fill="FFFFFF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20"/>
              </w:rPr>
              <w:t>사례연결팀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  <w:shd w:fill="FFFFFF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20"/>
              </w:rPr>
              <w:t>각 사례 다음 행동과 책임자 기록</w:t>
            </w:r>
          </w:p>
        </w:tc>
      </w:tr>
      <w:tr>
        <w:trPr>
          <w:cantSplit/>
        </w:trPr>
        <w:tc>
          <w:tcPr>
            <w:tcW w:type="dxa" w:w="10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  <w:shd w:fill="F3F6F9"/>
          </w:tcPr>
          <w:p>
            <w:pPr>
              <w:widowControl/>
              <w:spacing w:line="283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0"/>
              </w:rPr>
              <w:t>7 8주</w:t>
            </w:r>
          </w:p>
        </w:tc>
        <w:tc>
          <w:tcPr>
            <w:tcW w:type="dxa" w:w="16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  <w:shd w:fill="F3F6F9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20"/>
              </w:rPr>
              <w:t>공통 경로 시험</w:t>
            </w:r>
          </w:p>
        </w:tc>
        <w:tc>
          <w:tcPr>
            <w:tcW w:type="dxa" w:w="367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  <w:shd w:fill="F3F6F9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20"/>
              </w:rPr>
              <w:t>한국어교실에서 예배·양육으로 잇는 2개 현장 운영</w:t>
            </w:r>
          </w:p>
        </w:tc>
        <w:tc>
          <w:tcPr>
            <w:tcW w:type="dxa" w:w="19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  <w:shd w:fill="F3F6F9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20"/>
              </w:rPr>
              <w:t>현장교회·센터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  <w:shd w:fill="F3F6F9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20"/>
              </w:rPr>
              <w:t>후속 만남 참여자와 담당자 확인</w:t>
            </w:r>
          </w:p>
        </w:tc>
      </w:tr>
      <w:tr>
        <w:trPr>
          <w:cantSplit/>
        </w:trPr>
        <w:tc>
          <w:tcPr>
            <w:tcW w:type="dxa" w:w="10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  <w:shd w:fill="FFFFFF"/>
          </w:tcPr>
          <w:p>
            <w:pPr>
              <w:widowControl/>
              <w:spacing w:line="283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0"/>
              </w:rPr>
              <w:t>9 10주</w:t>
            </w:r>
          </w:p>
        </w:tc>
        <w:tc>
          <w:tcPr>
            <w:tcW w:type="dxa" w:w="16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  <w:shd w:fill="FFFFFF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20"/>
              </w:rPr>
              <w:t>자료와 교육</w:t>
            </w:r>
          </w:p>
        </w:tc>
        <w:tc>
          <w:tcPr>
            <w:tcW w:type="dxa" w:w="367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  <w:shd w:fill="FFFFFF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20"/>
              </w:rPr>
              <w:t>다국어 핵심자료 10종 목록화  담당자 교육</w:t>
            </w:r>
          </w:p>
        </w:tc>
        <w:tc>
          <w:tcPr>
            <w:tcW w:type="dxa" w:w="19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  <w:shd w:fill="FFFFFF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20"/>
              </w:rPr>
              <w:t>콘텐츠팀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  <w:shd w:fill="FFFFFF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20"/>
              </w:rPr>
              <w:t>출처·언어·활용법 표시</w:t>
            </w:r>
          </w:p>
        </w:tc>
      </w:tr>
      <w:tr>
        <w:trPr>
          <w:cantSplit/>
        </w:trPr>
        <w:tc>
          <w:tcPr>
            <w:tcW w:type="dxa" w:w="10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  <w:shd w:fill="F3F6F9"/>
          </w:tcPr>
          <w:p>
            <w:pPr>
              <w:widowControl/>
              <w:spacing w:line="283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0"/>
              </w:rPr>
              <w:t>11주</w:t>
            </w:r>
          </w:p>
        </w:tc>
        <w:tc>
          <w:tcPr>
            <w:tcW w:type="dxa" w:w="16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  <w:shd w:fill="F3F6F9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20"/>
              </w:rPr>
              <w:t>평가</w:t>
            </w:r>
          </w:p>
        </w:tc>
        <w:tc>
          <w:tcPr>
            <w:tcW w:type="dxa" w:w="367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  <w:shd w:fill="F3F6F9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20"/>
              </w:rPr>
              <w:t>연결 속도  해결률  관계 지속  만족도  문제점 검토</w:t>
            </w:r>
          </w:p>
        </w:tc>
        <w:tc>
          <w:tcPr>
            <w:tcW w:type="dxa" w:w="19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  <w:shd w:fill="F3F6F9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20"/>
              </w:rPr>
              <w:t>운영팀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  <w:shd w:fill="F3F6F9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20"/>
              </w:rPr>
              <w:t>개선안 문서화</w:t>
            </w:r>
          </w:p>
        </w:tc>
      </w:tr>
      <w:tr>
        <w:trPr>
          <w:cantSplit/>
        </w:trPr>
        <w:tc>
          <w:tcPr>
            <w:tcW w:type="dxa" w:w="10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  <w:shd w:fill="FFFFFF"/>
          </w:tcPr>
          <w:p>
            <w:pPr>
              <w:widowControl/>
              <w:spacing w:line="283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0"/>
              </w:rPr>
              <w:t>12주</w:t>
            </w:r>
          </w:p>
        </w:tc>
        <w:tc>
          <w:tcPr>
            <w:tcW w:type="dxa" w:w="16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  <w:shd w:fill="FFFFFF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20"/>
              </w:rPr>
              <w:t>다음 주기 결정</w:t>
            </w:r>
          </w:p>
        </w:tc>
        <w:tc>
          <w:tcPr>
            <w:tcW w:type="dxa" w:w="367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  <w:shd w:fill="FFFFFF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20"/>
              </w:rPr>
              <w:t>계속할 과제  중단할 과제  확장할 지역 결정</w:t>
            </w:r>
          </w:p>
        </w:tc>
        <w:tc>
          <w:tcPr>
            <w:tcW w:type="dxa" w:w="19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  <w:shd w:fill="FFFFFF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20"/>
              </w:rPr>
              <w:t>공동운영회의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5" w:type="dxa"/>
              <w:start w:w="115" w:type="dxa"/>
              <w:bottom w:w="105" w:type="dxa"/>
              <w:end w:w="115" w:type="dxa"/>
            </w:tcMar>
            <w:vAlign w:val="center"/>
            <w:shd w:fill="FFFFFF"/>
          </w:tcPr>
          <w:p>
            <w:pPr>
              <w:widowControl/>
              <w:spacing w:line="283" w:lineRule="auto" w:after="0"/>
            </w:pPr>
            <w:r>
              <w:rPr>
                <w:rFonts w:ascii="Malgun Gothic" w:hAnsi="Malgun Gothic" w:eastAsia="Malgun Gothic"/>
                <w:color w:val="1F2937"/>
                <w:sz w:val="20"/>
              </w:rPr>
              <w:t>다음 90일 계획 승인</w:t>
            </w:r>
          </w:p>
        </w:tc>
      </w:tr>
    </w:tbl>
    <w:p>
      <w:pPr>
        <w:widowControl/>
        <w:spacing w:after="160" w:line="355" w:lineRule="auto"/>
      </w:pPr>
    </w:p>
    <w:p>
      <w:pPr>
        <w:pStyle w:val="Heading2"/>
        <w:keepNext/>
      </w:pPr>
      <w:r>
        <w:rPr>
          <w:rFonts w:ascii="Malgun Gothic" w:hAnsi="Malgun Gothic" w:eastAsia="Malgun Gothic"/>
          <w:b/>
          <w:color w:val="2D6A4F"/>
          <w:sz w:val="30"/>
        </w:rPr>
        <w:t>90일 시범 프로젝트 권고</w:t>
      </w:r>
    </w:p>
    <w:p>
      <w:pPr>
        <w:widowControl/>
        <w:spacing w:line="355" w:lineRule="auto" w:after="160"/>
      </w:pPr>
      <w:r>
        <w:rPr>
          <w:rFonts w:ascii="Malgun Gothic" w:hAnsi="Malgun Gothic" w:eastAsia="Malgun Gothic"/>
          <w:color w:val="1F2937"/>
          <w:sz w:val="24"/>
        </w:rPr>
        <w:t>첫 공동 프로젝트는 ‘지역별 이주민 사례 연결과 후속 양육 인계’로 설정하는 것이 좋습니다. 자원지도만 만들고 끝내지 않고, 실제 요청 3건 이상을 접수하여 해결 과정과 후속 관계를 기록해야 디지털 연결망의 가치가 증명됩니다.</w:t>
      </w:r>
    </w:p>
    <w:p>
      <w:pPr>
        <w:pStyle w:val="Heading2"/>
        <w:keepNext/>
      </w:pPr>
      <w:r>
        <w:rPr>
          <w:rFonts w:ascii="Malgun Gothic" w:hAnsi="Malgun Gothic" w:eastAsia="Malgun Gothic"/>
          <w:b/>
          <w:color w:val="000000"/>
          <w:sz w:val="30"/>
        </w:rPr>
        <w:t>운영회의 질문</w:t>
      </w:r>
    </w:p>
    <w:p>
      <w:pPr>
        <w:pStyle w:val="ListNumber"/>
        <w:widowControl/>
        <w:spacing w:after="100" w:line="331" w:lineRule="auto"/>
      </w:pPr>
      <w:r>
        <w:rPr>
          <w:rFonts w:ascii="Malgun Gothic" w:hAnsi="Malgun Gothic" w:eastAsia="Malgun Gothic"/>
          <w:color w:val="1F2937"/>
          <w:sz w:val="24"/>
        </w:rPr>
        <w:t>이번 달 가장 시급한 현장 문제는 무엇입니까.</w:t>
      </w:r>
    </w:p>
    <w:p>
      <w:pPr>
        <w:pStyle w:val="ListNumber"/>
        <w:widowControl/>
        <w:spacing w:after="100" w:line="331" w:lineRule="auto"/>
      </w:pPr>
      <w:r>
        <w:rPr>
          <w:rFonts w:ascii="Malgun Gothic" w:hAnsi="Malgun Gothic" w:eastAsia="Malgun Gothic"/>
          <w:color w:val="1F2937"/>
          <w:sz w:val="24"/>
        </w:rPr>
        <w:t>이 문제를 이미 잘 다루는 사람이나 기관은 누구입니까.</w:t>
      </w:r>
    </w:p>
    <w:p>
      <w:pPr>
        <w:pStyle w:val="ListNumber"/>
        <w:widowControl/>
        <w:spacing w:after="100" w:line="331" w:lineRule="auto"/>
      </w:pPr>
      <w:r>
        <w:rPr>
          <w:rFonts w:ascii="Malgun Gothic" w:hAnsi="Malgun Gothic" w:eastAsia="Malgun Gothic"/>
          <w:color w:val="1F2937"/>
          <w:sz w:val="24"/>
        </w:rPr>
        <w:t>연결을 막는 정보·행정·언어 장벽은 무엇입니까.</w:t>
      </w:r>
    </w:p>
    <w:p>
      <w:pPr>
        <w:pStyle w:val="ListNumber"/>
        <w:widowControl/>
        <w:spacing w:after="100" w:line="331" w:lineRule="auto"/>
      </w:pPr>
      <w:r>
        <w:rPr>
          <w:rFonts w:ascii="Malgun Gothic" w:hAnsi="Malgun Gothic" w:eastAsia="Malgun Gothic"/>
          <w:color w:val="1F2937"/>
          <w:sz w:val="24"/>
        </w:rPr>
        <w:t>누가 언제까지 첫 행동을 맡습니까.</w:t>
      </w:r>
    </w:p>
    <w:p>
      <w:pPr>
        <w:pStyle w:val="ListNumber"/>
        <w:widowControl/>
        <w:spacing w:after="100" w:line="331" w:lineRule="auto"/>
      </w:pPr>
      <w:r>
        <w:rPr>
          <w:rFonts w:ascii="Malgun Gothic" w:hAnsi="Malgun Gothic" w:eastAsia="Malgun Gothic"/>
          <w:color w:val="1F2937"/>
          <w:sz w:val="24"/>
        </w:rPr>
        <w:t>해결 이후 예배·양육·리더십으로 어떻게 이어집니까.</w:t>
      </w:r>
    </w:p>
    <w:p>
      <w:pPr>
        <w:widowControl/>
        <w:spacing w:line="355" w:lineRule="auto" w:after="160"/>
      </w:pPr>
      <w:r>
        <w:rPr>
          <w:rFonts w:ascii="Malgun Gothic" w:hAnsi="Malgun Gothic" w:eastAsia="Malgun Gothic"/>
          <w:color w:val="1F2937"/>
          <w:sz w:val="24"/>
        </w:rPr>
        <w:br w:type="page"/>
      </w:r>
    </w:p>
    <w:p>
      <w:pPr>
        <w:pStyle w:val="Heading1"/>
        <w:keepNext/>
      </w:pPr>
      <w:r>
        <w:rPr>
          <w:rFonts w:ascii="Malgun Gothic" w:hAnsi="Malgun Gothic" w:eastAsia="Malgun Gothic"/>
          <w:b/>
          <w:color w:val="000000"/>
          <w:sz w:val="38"/>
        </w:rPr>
        <w:t>6 운영체계와 책임</w:t>
      </w:r>
    </w:p>
    <w:p>
      <w:pPr>
        <w:keepNext/>
        <w:widowControl/>
        <w:spacing w:after="160" w:line="355" w:lineRule="auto"/>
      </w:pPr>
      <w:r>
        <w:rPr>
          <w:rFonts w:ascii="Malgun Gothic" w:hAnsi="Malgun Gothic" w:eastAsia="Malgun Gothic"/>
          <w:color w:val="1F2937"/>
          <w:sz w:val="24"/>
        </w:rPr>
        <w:t>연합은 좋은 관계만으로 지속되지 않습니다. 역할과 책임, 정보 기준, 의사결정 방식이 분명해야 합니다.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rPr>
          <w:tblHeader w:val="true"/>
          <w:cantSplit/>
        </w:trPr>
        <w:tc>
          <w:tcPr>
            <w:tcW w:type="dxa" w:w="1800"/>
            <w:shd w:fill="0F20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b/>
                <w:color w:val="FFFFFF"/>
                <w:sz w:val="22"/>
              </w:rPr>
              <w:t>구성</w:t>
            </w:r>
          </w:p>
        </w:tc>
        <w:tc>
          <w:tcPr>
            <w:tcW w:type="dxa" w:w="4464"/>
            <w:shd w:fill="0F20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b/>
                <w:color w:val="FFFFFF"/>
                <w:sz w:val="22"/>
              </w:rPr>
              <w:t>핵심 책임</w:t>
            </w:r>
          </w:p>
        </w:tc>
        <w:tc>
          <w:tcPr>
            <w:tcW w:type="dxa" w:w="3744"/>
            <w:shd w:fill="0F20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b/>
                <w:color w:val="FFFFFF"/>
                <w:sz w:val="22"/>
              </w:rPr>
              <w:t>권장 구성원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공동운영회의</w:t>
            </w:r>
          </w:p>
        </w:tc>
        <w:tc>
          <w:tcPr>
            <w:tcW w:type="dxa" w:w="44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방향 결정  우선순위 승인  갈등 조정</w:t>
            </w:r>
          </w:p>
        </w:tc>
        <w:tc>
          <w:tcPr>
            <w:tcW w:type="dxa" w:w="37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UGWMA  지역교회  센터  이주민 리더  엘림G브릿지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현장연결팀</w:t>
            </w:r>
          </w:p>
        </w:tc>
        <w:tc>
          <w:tcPr>
            <w:tcW w:type="dxa" w:w="44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사례 접수  담당 배정  후속 확인</w:t>
            </w:r>
          </w:p>
        </w:tc>
        <w:tc>
          <w:tcPr>
            <w:tcW w:type="dxa" w:w="37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지역별 코디네이터와 언어권 담당자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전문지원팀</w:t>
            </w:r>
          </w:p>
        </w:tc>
        <w:tc>
          <w:tcPr>
            <w:tcW w:type="dxa" w:w="44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비자  노무  법률  의료  교육 자문</w:t>
            </w:r>
          </w:p>
        </w:tc>
        <w:tc>
          <w:tcPr>
            <w:tcW w:type="dxa" w:w="37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검증된 전문가와 기관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디지털정보팀</w:t>
            </w:r>
          </w:p>
        </w:tc>
        <w:tc>
          <w:tcPr>
            <w:tcW w:type="dxa" w:w="44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자원지도  상세페이지  자료실  정보 갱신</w:t>
            </w:r>
          </w:p>
        </w:tc>
        <w:tc>
          <w:tcPr>
            <w:tcW w:type="dxa" w:w="37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엘림G브릿지와 콘텐츠 담당자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교육양육팀</w:t>
            </w:r>
          </w:p>
        </w:tc>
        <w:tc>
          <w:tcPr>
            <w:tcW w:type="dxa" w:w="44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복음자료  제자훈련  리더 아카데미</w:t>
            </w:r>
          </w:p>
        </w:tc>
        <w:tc>
          <w:tcPr>
            <w:tcW w:type="dxa" w:w="37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목회자  선교사  신학교  이주민 리더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기록평가팀</w:t>
            </w:r>
          </w:p>
        </w:tc>
        <w:tc>
          <w:tcPr>
            <w:tcW w:type="dxa" w:w="44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회의록  사례 기록  지표 점검  백서</w:t>
            </w:r>
          </w:p>
        </w:tc>
        <w:tc>
          <w:tcPr>
            <w:tcW w:type="dxa" w:w="37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행정·연구·미디어 담당자</w:t>
            </w:r>
          </w:p>
        </w:tc>
      </w:tr>
    </w:tbl>
    <w:p>
      <w:pPr>
        <w:widowControl/>
        <w:spacing w:after="160" w:line="355" w:lineRule="auto"/>
      </w:pPr>
    </w:p>
    <w:p>
      <w:pPr>
        <w:pStyle w:val="Heading2"/>
        <w:keepNext/>
      </w:pPr>
      <w:r>
        <w:rPr>
          <w:rFonts w:ascii="Malgun Gothic" w:hAnsi="Malgun Gothic" w:eastAsia="Malgun Gothic"/>
          <w:b/>
          <w:color w:val="000000"/>
          <w:sz w:val="30"/>
        </w:rPr>
        <w:t>의사결정 원칙</w:t>
      </w:r>
    </w:p>
    <w:p>
      <w:pPr>
        <w:pStyle w:val="ListBullet"/>
        <w:widowControl/>
        <w:spacing w:after="100" w:line="331" w:lineRule="auto"/>
        <w:ind w:left="317" w:hanging="230"/>
      </w:pPr>
      <w:r>
        <w:rPr>
          <w:rFonts w:ascii="Malgun Gothic" w:hAnsi="Malgun Gothic" w:eastAsia="Malgun Gothic"/>
          <w:color w:val="1F2937"/>
          <w:sz w:val="24"/>
        </w:rPr>
        <w:t>현장 당사자의 목소리를 먼저 듣고, 기관의 편의보다 이주민의 실제 필요를 기준으로 판단합니다.</w:t>
      </w:r>
    </w:p>
    <w:p>
      <w:pPr>
        <w:pStyle w:val="ListBullet"/>
        <w:widowControl/>
        <w:spacing w:after="100" w:line="331" w:lineRule="auto"/>
        <w:ind w:left="317" w:hanging="230"/>
      </w:pPr>
      <w:r>
        <w:rPr>
          <w:rFonts w:ascii="Malgun Gothic" w:hAnsi="Malgun Gothic" w:eastAsia="Malgun Gothic"/>
          <w:color w:val="1F2937"/>
          <w:sz w:val="24"/>
        </w:rPr>
        <w:t>모든 기관이 같은 방식으로 일하도록 요구하지 않고, 공통 기준과 연결 절차만 합의합니다.</w:t>
      </w:r>
    </w:p>
    <w:p>
      <w:pPr>
        <w:pStyle w:val="ListBullet"/>
        <w:widowControl/>
        <w:spacing w:after="100" w:line="331" w:lineRule="auto"/>
        <w:ind w:left="317" w:hanging="230"/>
      </w:pPr>
      <w:r>
        <w:rPr>
          <w:rFonts w:ascii="Malgun Gothic" w:hAnsi="Malgun Gothic" w:eastAsia="Malgun Gothic"/>
          <w:color w:val="1F2937"/>
          <w:sz w:val="24"/>
        </w:rPr>
        <w:t>확인되지 않은 정보는 공개하지 않으며, 긴급한 사안과 장기 과제를 구분합니다.</w:t>
      </w:r>
    </w:p>
    <w:p>
      <w:pPr>
        <w:pStyle w:val="ListBullet"/>
        <w:widowControl/>
        <w:spacing w:after="100" w:line="331" w:lineRule="auto"/>
        <w:ind w:left="317" w:hanging="230"/>
      </w:pPr>
      <w:r>
        <w:rPr>
          <w:rFonts w:ascii="Malgun Gothic" w:hAnsi="Malgun Gothic" w:eastAsia="Malgun Gothic"/>
          <w:color w:val="1F2937"/>
          <w:sz w:val="24"/>
        </w:rPr>
        <w:t>공동 프로젝트의 목적·역할·비용·자료 사용 범위를 시작 전에 기록합니다.</w:t>
      </w:r>
    </w:p>
    <w:p>
      <w:pPr>
        <w:pStyle w:val="ListBullet"/>
        <w:widowControl/>
        <w:spacing w:after="100" w:line="331" w:lineRule="auto"/>
        <w:ind w:left="317" w:hanging="230"/>
      </w:pPr>
      <w:r>
        <w:rPr>
          <w:rFonts w:ascii="Malgun Gothic" w:hAnsi="Malgun Gothic" w:eastAsia="Malgun Gothic"/>
          <w:color w:val="1F2937"/>
          <w:sz w:val="24"/>
        </w:rPr>
        <w:t>결과뿐 아니라 실패 원인과 중단 이유도 학습 자료로 남깁니다.</w:t>
      </w:r>
    </w:p>
    <w:p>
      <w:pPr>
        <w:pStyle w:val="Heading2"/>
        <w:keepNext/>
      </w:pPr>
      <w:r>
        <w:rPr>
          <w:rFonts w:ascii="Malgun Gothic" w:hAnsi="Malgun Gothic" w:eastAsia="Malgun Gothic"/>
          <w:b/>
          <w:color w:val="000000"/>
          <w:sz w:val="30"/>
        </w:rPr>
        <w:t>협력 요청 기본 절차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rPr>
          <w:tblHeader w:val="true"/>
          <w:cantSplit/>
        </w:trPr>
        <w:tc>
          <w:tcPr>
            <w:tcW w:type="dxa" w:w="1224"/>
            <w:shd w:fill="0F20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b/>
                <w:color w:val="FFFFFF"/>
                <w:sz w:val="22"/>
              </w:rPr>
              <w:t>순서</w:t>
            </w:r>
          </w:p>
        </w:tc>
        <w:tc>
          <w:tcPr>
            <w:tcW w:type="dxa" w:w="4320"/>
            <w:shd w:fill="0F20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b/>
                <w:color w:val="FFFFFF"/>
                <w:sz w:val="22"/>
              </w:rPr>
              <w:t>행동</w:t>
            </w:r>
          </w:p>
        </w:tc>
        <w:tc>
          <w:tcPr>
            <w:tcW w:type="dxa" w:w="4464"/>
            <w:shd w:fill="0F20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b/>
                <w:color w:val="FFFFFF"/>
                <w:sz w:val="22"/>
              </w:rPr>
              <w:t>필수 확인</w:t>
            </w:r>
          </w:p>
        </w:tc>
      </w:tr>
      <w:tr>
        <w:trPr>
          <w:cantSplit/>
        </w:trPr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1 접수</w:t>
            </w:r>
          </w:p>
        </w:tc>
        <w:tc>
          <w:tcPr>
            <w:tcW w:type="dxa" w:w="43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요청자의 필요와 긴급도 파악</w:t>
            </w:r>
          </w:p>
        </w:tc>
        <w:tc>
          <w:tcPr>
            <w:tcW w:type="dxa" w:w="44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당사자 동의  연락 가능 시간  언어</w:t>
            </w:r>
          </w:p>
        </w:tc>
      </w:tr>
      <w:tr>
        <w:trPr>
          <w:cantSplit/>
        </w:trPr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2 분류</w:t>
            </w:r>
          </w:p>
        </w:tc>
        <w:tc>
          <w:tcPr>
            <w:tcW w:type="dxa" w:w="43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지역·분야·전문성·위험 수준 구분</w:t>
            </w:r>
          </w:p>
        </w:tc>
        <w:tc>
          <w:tcPr>
            <w:tcW w:type="dxa" w:w="44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전문가 자문 필요 여부</w:t>
            </w:r>
          </w:p>
        </w:tc>
      </w:tr>
      <w:tr>
        <w:trPr>
          <w:cantSplit/>
        </w:trPr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3 배정</w:t>
            </w:r>
          </w:p>
        </w:tc>
        <w:tc>
          <w:tcPr>
            <w:tcW w:type="dxa" w:w="43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적합한 기관 또는 담당자에게 인계</w:t>
            </w:r>
          </w:p>
        </w:tc>
        <w:tc>
          <w:tcPr>
            <w:tcW w:type="dxa" w:w="44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담당 수락과 첫 연락 기한</w:t>
            </w:r>
          </w:p>
        </w:tc>
      </w:tr>
      <w:tr>
        <w:trPr>
          <w:cantSplit/>
        </w:trPr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4 진행</w:t>
            </w:r>
          </w:p>
        </w:tc>
        <w:tc>
          <w:tcPr>
            <w:tcW w:type="dxa" w:w="43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다음 행동과 결과 기록</w:t>
            </w:r>
          </w:p>
        </w:tc>
        <w:tc>
          <w:tcPr>
            <w:tcW w:type="dxa" w:w="44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민감정보 접근 범위</w:t>
            </w:r>
          </w:p>
        </w:tc>
      </w:tr>
      <w:tr>
        <w:trPr>
          <w:cantSplit/>
        </w:trPr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5 후속</w:t>
            </w:r>
          </w:p>
        </w:tc>
        <w:tc>
          <w:tcPr>
            <w:tcW w:type="dxa" w:w="43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생활 해결 이후 관계·공동체·양육 연결</w:t>
            </w:r>
          </w:p>
        </w:tc>
        <w:tc>
          <w:tcPr>
            <w:tcW w:type="dxa" w:w="44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본인의 자발적 참여</w:t>
            </w:r>
          </w:p>
        </w:tc>
      </w:tr>
      <w:tr>
        <w:trPr>
          <w:cantSplit/>
        </w:trPr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6 종료</w:t>
            </w:r>
          </w:p>
        </w:tc>
        <w:tc>
          <w:tcPr>
            <w:tcW w:type="dxa" w:w="43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결과·남은 과제·재연락 기준 정리</w:t>
            </w:r>
          </w:p>
        </w:tc>
        <w:tc>
          <w:tcPr>
            <w:tcW w:type="dxa" w:w="44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기록 보존과 삭제 기준</w:t>
            </w:r>
          </w:p>
        </w:tc>
      </w:tr>
    </w:tbl>
    <w:p>
      <w:pPr>
        <w:widowControl/>
        <w:spacing w:after="160" w:line="355" w:lineRule="auto"/>
      </w:pPr>
    </w:p>
    <w:p>
      <w:pPr>
        <w:widowControl/>
        <w:spacing w:line="355" w:lineRule="auto" w:after="160"/>
      </w:pPr>
      <w:r>
        <w:rPr>
          <w:rFonts w:ascii="Malgun Gothic" w:hAnsi="Malgun Gothic" w:eastAsia="Malgun Gothic"/>
          <w:color w:val="1F2937"/>
          <w:sz w:val="24"/>
        </w:rPr>
        <w:br w:type="page"/>
      </w:r>
    </w:p>
    <w:p>
      <w:pPr>
        <w:pStyle w:val="Heading1"/>
        <w:keepNext/>
      </w:pPr>
      <w:r>
        <w:rPr>
          <w:rFonts w:ascii="Malgun Gothic" w:hAnsi="Malgun Gothic" w:eastAsia="Malgun Gothic"/>
          <w:b/>
          <w:color w:val="000000"/>
          <w:sz w:val="38"/>
        </w:rPr>
        <w:t>7 성과지표와 평가</w:t>
      </w:r>
    </w:p>
    <w:p>
      <w:pPr>
        <w:keepNext/>
        <w:widowControl/>
        <w:spacing w:after="160" w:line="355" w:lineRule="auto"/>
      </w:pPr>
      <w:r>
        <w:rPr>
          <w:rFonts w:ascii="Malgun Gothic" w:hAnsi="Malgun Gothic" w:eastAsia="Malgun Gothic"/>
          <w:color w:val="1F2937"/>
          <w:sz w:val="24"/>
        </w:rPr>
        <w:t>성과는 행사 인원만으로 판단하지 않습니다. 연결의 속도와 정확성, 관계의 지속성, 이주민 리더의 성장, 기관 간 재협력 여부를 함께 봅니다.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8"/>
        <w:gridCol w:w="2498"/>
        <w:gridCol w:w="2498"/>
        <w:gridCol w:w="2498"/>
      </w:tblGrid>
      <w:tr>
        <w:trPr>
          <w:tblHeader w:val="true"/>
          <w:cantSplit/>
        </w:trPr>
        <w:tc>
          <w:tcPr>
            <w:tcW w:type="dxa" w:w="1440"/>
            <w:shd w:fill="0F20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b/>
                <w:color w:val="FFFFFF"/>
                <w:sz w:val="22"/>
              </w:rPr>
              <w:t>영역</w:t>
            </w:r>
          </w:p>
        </w:tc>
        <w:tc>
          <w:tcPr>
            <w:tcW w:type="dxa" w:w="3816"/>
            <w:shd w:fill="0F20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b/>
                <w:color w:val="FFFFFF"/>
                <w:sz w:val="22"/>
              </w:rPr>
              <w:t>핵심 지표</w:t>
            </w:r>
          </w:p>
        </w:tc>
        <w:tc>
          <w:tcPr>
            <w:tcW w:type="dxa" w:w="2232"/>
            <w:shd w:fill="0F20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b/>
                <w:color w:val="FFFFFF"/>
                <w:sz w:val="22"/>
              </w:rPr>
              <w:t>90일 권고 목표</w:t>
            </w:r>
          </w:p>
        </w:tc>
        <w:tc>
          <w:tcPr>
            <w:tcW w:type="dxa" w:w="2520"/>
            <w:shd w:fill="0F20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b/>
                <w:color w:val="FFFFFF"/>
                <w:sz w:val="22"/>
              </w:rPr>
              <w:t>확인 방법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1"/>
              </w:rPr>
              <w:t>자원 발견</w:t>
            </w:r>
          </w:p>
        </w:tc>
        <w:tc>
          <w:tcPr>
            <w:tcW w:type="dxa" w:w="381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1"/>
              </w:rPr>
              <w:t>확인된 사역자·기관·전문가 수</w:t>
            </w:r>
          </w:p>
        </w:tc>
        <w:tc>
          <w:tcPr>
            <w:tcW w:type="dxa" w:w="223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1"/>
              </w:rPr>
              <w:t>30곳 이상</w:t>
            </w:r>
          </w:p>
        </w:tc>
        <w:tc>
          <w:tcPr>
            <w:tcW w:type="dxa" w:w="25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1"/>
              </w:rPr>
              <w:t>본인 확인 완료 목록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1"/>
              </w:rPr>
              <w:t>연결 속도</w:t>
            </w:r>
          </w:p>
        </w:tc>
        <w:tc>
          <w:tcPr>
            <w:tcW w:type="dxa" w:w="381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1"/>
              </w:rPr>
              <w:t>요청 접수부터 첫 응답까지</w:t>
            </w:r>
          </w:p>
        </w:tc>
        <w:tc>
          <w:tcPr>
            <w:tcW w:type="dxa" w:w="223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1"/>
              </w:rPr>
              <w:t>48시간 이내 80퍼센트</w:t>
            </w:r>
          </w:p>
        </w:tc>
        <w:tc>
          <w:tcPr>
            <w:tcW w:type="dxa" w:w="25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1"/>
              </w:rPr>
              <w:t>접수·응답 시간 기록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1"/>
              </w:rPr>
              <w:t>사례 해결</w:t>
            </w:r>
          </w:p>
        </w:tc>
        <w:tc>
          <w:tcPr>
            <w:tcW w:type="dxa" w:w="381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1"/>
              </w:rPr>
              <w:t>담당 배정 후 실제 다음 행동 실행률</w:t>
            </w:r>
          </w:p>
        </w:tc>
        <w:tc>
          <w:tcPr>
            <w:tcW w:type="dxa" w:w="223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1"/>
              </w:rPr>
              <w:t>70퍼센트 이상</w:t>
            </w:r>
          </w:p>
        </w:tc>
        <w:tc>
          <w:tcPr>
            <w:tcW w:type="dxa" w:w="25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1"/>
              </w:rPr>
              <w:t>담당자 후속 확인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1"/>
              </w:rPr>
              <w:t>관계 지속</w:t>
            </w:r>
          </w:p>
        </w:tc>
        <w:tc>
          <w:tcPr>
            <w:tcW w:type="dxa" w:w="381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1"/>
              </w:rPr>
              <w:t>첫 만남 후 4주 이상 연결된 비율</w:t>
            </w:r>
          </w:p>
        </w:tc>
        <w:tc>
          <w:tcPr>
            <w:tcW w:type="dxa" w:w="223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1"/>
              </w:rPr>
              <w:t>60퍼센트 이상</w:t>
            </w:r>
          </w:p>
        </w:tc>
        <w:tc>
          <w:tcPr>
            <w:tcW w:type="dxa" w:w="25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1"/>
              </w:rPr>
              <w:t>만남·연락 기록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1"/>
              </w:rPr>
              <w:t>양육 전환</w:t>
            </w:r>
          </w:p>
        </w:tc>
        <w:tc>
          <w:tcPr>
            <w:tcW w:type="dxa" w:w="381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1"/>
              </w:rPr>
              <w:t>성경읽기·소그룹·예배에 자발적으로 참여한 수</w:t>
            </w:r>
          </w:p>
        </w:tc>
        <w:tc>
          <w:tcPr>
            <w:tcW w:type="dxa" w:w="223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1"/>
              </w:rPr>
              <w:t>시범 현장별 3명 이상</w:t>
            </w:r>
          </w:p>
        </w:tc>
        <w:tc>
          <w:tcPr>
            <w:tcW w:type="dxa" w:w="25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1"/>
              </w:rPr>
              <w:t>현장 담당자 확인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1"/>
              </w:rPr>
              <w:t>리더 참여</w:t>
            </w:r>
          </w:p>
        </w:tc>
        <w:tc>
          <w:tcPr>
            <w:tcW w:type="dxa" w:w="381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1"/>
              </w:rPr>
              <w:t>이주민이 기획·인도 역할을 맡은 사례</w:t>
            </w:r>
          </w:p>
        </w:tc>
        <w:tc>
          <w:tcPr>
            <w:tcW w:type="dxa" w:w="223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1"/>
              </w:rPr>
              <w:t>3건 이상</w:t>
            </w:r>
          </w:p>
        </w:tc>
        <w:tc>
          <w:tcPr>
            <w:tcW w:type="dxa" w:w="25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1"/>
              </w:rPr>
              <w:t>역할과 결과 기록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1"/>
              </w:rPr>
              <w:t>기관 협력</w:t>
            </w:r>
          </w:p>
        </w:tc>
        <w:tc>
          <w:tcPr>
            <w:tcW w:type="dxa" w:w="381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1"/>
              </w:rPr>
              <w:t>두 기관 이상이 함께 해결한 사례</w:t>
            </w:r>
          </w:p>
        </w:tc>
        <w:tc>
          <w:tcPr>
            <w:tcW w:type="dxa" w:w="223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1"/>
              </w:rPr>
              <w:t>5건 이상</w:t>
            </w:r>
          </w:p>
        </w:tc>
        <w:tc>
          <w:tcPr>
            <w:tcW w:type="dxa" w:w="25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1"/>
              </w:rPr>
              <w:t>협력기관 확인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1"/>
              </w:rPr>
              <w:t>자료 활용</w:t>
            </w:r>
          </w:p>
        </w:tc>
        <w:tc>
          <w:tcPr>
            <w:tcW w:type="dxa" w:w="381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1"/>
              </w:rPr>
              <w:t>검증 자료의 조회·현장 활용 사례</w:t>
            </w:r>
          </w:p>
        </w:tc>
        <w:tc>
          <w:tcPr>
            <w:tcW w:type="dxa" w:w="223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1"/>
              </w:rPr>
              <w:t>10종  20회 이상</w:t>
            </w:r>
          </w:p>
        </w:tc>
        <w:tc>
          <w:tcPr>
            <w:tcW w:type="dxa" w:w="25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5" w:type="dxa"/>
              <w:start w:w="125" w:type="dxa"/>
              <w:bottom w:w="115" w:type="dxa"/>
              <w:end w:w="12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1"/>
              </w:rPr>
              <w:t>활용 후기</w:t>
            </w:r>
          </w:p>
        </w:tc>
      </w:tr>
    </w:tbl>
    <w:p>
      <w:pPr>
        <w:widowControl/>
        <w:spacing w:after="160" w:line="355" w:lineRule="auto"/>
      </w:pPr>
    </w:p>
    <w:p>
      <w:pPr>
        <w:pStyle w:val="Heading2"/>
        <w:keepNext/>
      </w:pPr>
      <w:r>
        <w:rPr>
          <w:rFonts w:ascii="Malgun Gothic" w:hAnsi="Malgun Gothic" w:eastAsia="Malgun Gothic"/>
          <w:b/>
          <w:color w:val="000000"/>
          <w:sz w:val="30"/>
        </w:rPr>
        <w:t>평가할 때 피해야 할 것</w:t>
      </w:r>
    </w:p>
    <w:p>
      <w:pPr>
        <w:pStyle w:val="ListBullet"/>
        <w:widowControl/>
        <w:spacing w:after="100" w:line="331" w:lineRule="auto"/>
        <w:ind w:left="317" w:hanging="230"/>
      </w:pPr>
      <w:r>
        <w:rPr>
          <w:rFonts w:ascii="Malgun Gothic" w:hAnsi="Malgun Gothic" w:eastAsia="Malgun Gothic"/>
          <w:color w:val="1F2937"/>
          <w:sz w:val="24"/>
        </w:rPr>
        <w:t>참석 인원과 사진 수만으로 사역의 깊이를 판단하지 않습니다.</w:t>
      </w:r>
    </w:p>
    <w:p>
      <w:pPr>
        <w:pStyle w:val="ListBullet"/>
        <w:widowControl/>
        <w:spacing w:after="100" w:line="331" w:lineRule="auto"/>
        <w:ind w:left="317" w:hanging="230"/>
      </w:pPr>
      <w:r>
        <w:rPr>
          <w:rFonts w:ascii="Malgun Gothic" w:hAnsi="Malgun Gothic" w:eastAsia="Malgun Gothic"/>
          <w:color w:val="1F2937"/>
          <w:sz w:val="24"/>
        </w:rPr>
        <w:t>복잡한 체류·가정 문제를 짧은 기간 안에 해결하지 못했다고 담당자를 실패자로 평가하지 않습니다.</w:t>
      </w:r>
    </w:p>
    <w:p>
      <w:pPr>
        <w:pStyle w:val="ListBullet"/>
        <w:widowControl/>
        <w:spacing w:after="100" w:line="331" w:lineRule="auto"/>
        <w:ind w:left="317" w:hanging="230"/>
      </w:pPr>
      <w:r>
        <w:rPr>
          <w:rFonts w:ascii="Malgun Gothic" w:hAnsi="Malgun Gothic" w:eastAsia="Malgun Gothic"/>
          <w:color w:val="1F2937"/>
          <w:sz w:val="24"/>
        </w:rPr>
        <w:t>개인정보를 많이 모으는 것을 데이터 기반 사역으로 오해하지 않습니다.</w:t>
      </w:r>
    </w:p>
    <w:p>
      <w:pPr>
        <w:pStyle w:val="ListBullet"/>
        <w:widowControl/>
        <w:spacing w:after="100" w:line="331" w:lineRule="auto"/>
        <w:ind w:left="317" w:hanging="230"/>
      </w:pPr>
      <w:r>
        <w:rPr>
          <w:rFonts w:ascii="Malgun Gothic" w:hAnsi="Malgun Gothic" w:eastAsia="Malgun Gothic"/>
          <w:color w:val="1F2937"/>
          <w:sz w:val="24"/>
        </w:rPr>
        <w:t>AI 번역 결과를 검토 없이 공식 문서나 상담 판단에 사용하지 않습니다.</w:t>
      </w:r>
    </w:p>
    <w:p>
      <w:pPr>
        <w:pStyle w:val="ListBullet"/>
        <w:widowControl/>
        <w:spacing w:after="100" w:line="331" w:lineRule="auto"/>
        <w:ind w:left="317" w:hanging="230"/>
      </w:pPr>
      <w:r>
        <w:rPr>
          <w:rFonts w:ascii="Malgun Gothic" w:hAnsi="Malgun Gothic" w:eastAsia="Malgun Gothic"/>
          <w:color w:val="1F2937"/>
          <w:sz w:val="24"/>
        </w:rPr>
        <w:t>숫자가 좋아 보이도록 중복 참여자를 별도 성과로 계산하지 않습니다.</w:t>
      </w:r>
    </w:p>
    <w:p>
      <w:pPr>
        <w:pStyle w:val="Heading2"/>
        <w:keepNext/>
      </w:pPr>
      <w:r>
        <w:rPr>
          <w:rFonts w:ascii="Malgun Gothic" w:hAnsi="Malgun Gothic" w:eastAsia="Malgun Gothic"/>
          <w:b/>
          <w:color w:val="000000"/>
          <w:sz w:val="30"/>
        </w:rPr>
        <w:t>분기 평가 질문</w:t>
      </w:r>
    </w:p>
    <w:p>
      <w:pPr>
        <w:pStyle w:val="ListNumber"/>
        <w:widowControl/>
        <w:spacing w:after="100" w:line="331" w:lineRule="auto"/>
      </w:pPr>
      <w:r>
        <w:rPr>
          <w:rFonts w:ascii="Malgun Gothic" w:hAnsi="Malgun Gothic" w:eastAsia="Malgun Gothic"/>
          <w:color w:val="1F2937"/>
          <w:sz w:val="24"/>
        </w:rPr>
        <w:t>가장 많이 접수된 필요는 무엇이었으며, 그 원인은 무엇입니까.</w:t>
      </w:r>
    </w:p>
    <w:p>
      <w:pPr>
        <w:pStyle w:val="ListNumber"/>
        <w:widowControl/>
        <w:spacing w:after="100" w:line="331" w:lineRule="auto"/>
      </w:pPr>
      <w:r>
        <w:rPr>
          <w:rFonts w:ascii="Malgun Gothic" w:hAnsi="Malgun Gothic" w:eastAsia="Malgun Gothic"/>
          <w:color w:val="1F2937"/>
          <w:sz w:val="24"/>
        </w:rPr>
        <w:t>연결이 빠르게 이루어진 사례와 지연된 사례의 차이는 무엇입니까.</w:t>
      </w:r>
    </w:p>
    <w:p>
      <w:pPr>
        <w:pStyle w:val="ListNumber"/>
        <w:widowControl/>
        <w:spacing w:after="100" w:line="331" w:lineRule="auto"/>
      </w:pPr>
      <w:r>
        <w:rPr>
          <w:rFonts w:ascii="Malgun Gothic" w:hAnsi="Malgun Gothic" w:eastAsia="Malgun Gothic"/>
          <w:color w:val="1F2937"/>
          <w:sz w:val="24"/>
        </w:rPr>
        <w:t>이주민 당사자가 결정과 실행에 얼마나 참여했습니까.</w:t>
      </w:r>
    </w:p>
    <w:p>
      <w:pPr>
        <w:pStyle w:val="ListNumber"/>
        <w:widowControl/>
        <w:spacing w:after="100" w:line="331" w:lineRule="auto"/>
      </w:pPr>
      <w:r>
        <w:rPr>
          <w:rFonts w:ascii="Malgun Gothic" w:hAnsi="Malgun Gothic" w:eastAsia="Malgun Gothic"/>
          <w:color w:val="1F2937"/>
          <w:sz w:val="24"/>
        </w:rPr>
        <w:t>교회·센터·기업·대학 중 비어 있는 연결 고리는 어디입니까.</w:t>
      </w:r>
    </w:p>
    <w:p>
      <w:pPr>
        <w:pStyle w:val="ListNumber"/>
        <w:widowControl/>
        <w:spacing w:after="100" w:line="331" w:lineRule="auto"/>
      </w:pPr>
      <w:r>
        <w:rPr>
          <w:rFonts w:ascii="Malgun Gothic" w:hAnsi="Malgun Gothic" w:eastAsia="Malgun Gothic"/>
          <w:color w:val="1F2937"/>
          <w:sz w:val="24"/>
        </w:rPr>
        <w:t>다음 분기에 중단·개선·확장할 과제는 무엇입니까.</w:t>
      </w:r>
    </w:p>
    <w:p>
      <w:pPr>
        <w:widowControl/>
        <w:spacing w:line="355" w:lineRule="auto" w:after="160"/>
      </w:pPr>
      <w:r>
        <w:rPr>
          <w:rFonts w:ascii="Malgun Gothic" w:hAnsi="Malgun Gothic" w:eastAsia="Malgun Gothic"/>
          <w:color w:val="1F2937"/>
          <w:sz w:val="24"/>
        </w:rPr>
        <w:br w:type="page"/>
      </w:r>
    </w:p>
    <w:p>
      <w:pPr>
        <w:pStyle w:val="Heading1"/>
        <w:keepNext/>
      </w:pPr>
      <w:r>
        <w:rPr>
          <w:rFonts w:ascii="Malgun Gothic" w:hAnsi="Malgun Gothic" w:eastAsia="Malgun Gothic"/>
          <w:b/>
          <w:color w:val="000000"/>
          <w:sz w:val="38"/>
        </w:rPr>
        <w:t>8 위험 관리와 신뢰 원칙</w:t>
      </w:r>
    </w:p>
    <w:p>
      <w:pPr>
        <w:keepNext/>
        <w:widowControl/>
        <w:spacing w:after="160" w:line="355" w:lineRule="auto"/>
      </w:pPr>
      <w:r>
        <w:rPr>
          <w:rFonts w:ascii="Malgun Gothic" w:hAnsi="Malgun Gothic" w:eastAsia="Malgun Gothic"/>
          <w:color w:val="1F2937"/>
          <w:sz w:val="24"/>
        </w:rPr>
        <w:t>선교 협력은 사람의 삶과 신앙, 체류와 노동, 가족 정보를 다룹니다. 좋은 의도만으로 충분하지 않으며, 정확성과 동의, 전문성의 경계를 지켜야 합니다.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rPr>
          <w:tblHeader w:val="true"/>
          <w:cantSplit/>
        </w:trPr>
        <w:tc>
          <w:tcPr>
            <w:tcW w:type="dxa" w:w="1656"/>
            <w:shd w:fill="0F20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b/>
                <w:color w:val="FFFFFF"/>
                <w:sz w:val="22"/>
              </w:rPr>
              <w:t>위험</w:t>
            </w:r>
          </w:p>
        </w:tc>
        <w:tc>
          <w:tcPr>
            <w:tcW w:type="dxa" w:w="3672"/>
            <w:shd w:fill="0F20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b/>
                <w:color w:val="FFFFFF"/>
                <w:sz w:val="22"/>
              </w:rPr>
              <w:t>발생 가능 문제</w:t>
            </w:r>
          </w:p>
        </w:tc>
        <w:tc>
          <w:tcPr>
            <w:tcW w:type="dxa" w:w="4680"/>
            <w:shd w:fill="0F20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b/>
                <w:color w:val="FFFFFF"/>
                <w:sz w:val="22"/>
              </w:rPr>
              <w:t>예방과 대응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개인정보 노출</w:t>
            </w:r>
          </w:p>
        </w:tc>
        <w:tc>
          <w:tcPr>
            <w:tcW w:type="dxa" w:w="367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전화번호·체류·상담 내용이 불필요하게 공유됨</w:t>
            </w:r>
          </w:p>
        </w:tc>
        <w:tc>
          <w:tcPr>
            <w:tcW w:type="dxa" w:w="46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최소 수집  공개범위 동의  내부·공개 정보 분리  삭제 요청 창구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잘못된 행정 정보</w:t>
            </w:r>
          </w:p>
        </w:tc>
        <w:tc>
          <w:tcPr>
            <w:tcW w:type="dxa" w:w="367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비자·노무 조언으로 불이익 발생</w:t>
            </w:r>
          </w:p>
        </w:tc>
        <w:tc>
          <w:tcPr>
            <w:tcW w:type="dxa" w:w="46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일반 안내와 전문 자문 구분  공식기관·자격 전문가 확인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과도한 사역 집중</w:t>
            </w:r>
          </w:p>
        </w:tc>
        <w:tc>
          <w:tcPr>
            <w:tcW w:type="dxa" w:w="367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특정 개인에게 상담과 연결이 몰려 소진</w:t>
            </w:r>
          </w:p>
        </w:tc>
        <w:tc>
          <w:tcPr>
            <w:tcW w:type="dxa" w:w="46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지역·분야별 담당 분산  수용 가능 건수 표시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문화적 오해</w:t>
            </w:r>
          </w:p>
        </w:tc>
        <w:tc>
          <w:tcPr>
            <w:tcW w:type="dxa" w:w="367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한국식 방식 강요와 관계 단절</w:t>
            </w:r>
          </w:p>
        </w:tc>
        <w:tc>
          <w:tcPr>
            <w:tcW w:type="dxa" w:w="46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언어권 리더 동참  문화·종교 배경 사전 학습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사진과 홍보 남용</w:t>
            </w:r>
          </w:p>
        </w:tc>
        <w:tc>
          <w:tcPr>
            <w:tcW w:type="dxa" w:w="367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당사자 동의 없이 얼굴·사연 공개</w:t>
            </w:r>
          </w:p>
        </w:tc>
        <w:tc>
          <w:tcPr>
            <w:tcW w:type="dxa" w:w="46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목적 고지  동의 확인  아동·민감사례 보호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AI 오류</w:t>
            </w:r>
          </w:p>
        </w:tc>
        <w:tc>
          <w:tcPr>
            <w:tcW w:type="dxa" w:w="367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번역·요약이 사실과 의미를 왜곡</w:t>
            </w:r>
          </w:p>
        </w:tc>
        <w:tc>
          <w:tcPr>
            <w:tcW w:type="dxa" w:w="46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사람의 검토  원문 보존  중요한 결정에 단독 사용 금지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기관 간 갈등</w:t>
            </w:r>
          </w:p>
        </w:tc>
        <w:tc>
          <w:tcPr>
            <w:tcW w:type="dxa" w:w="367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공로·후원·자료 사용을 둘러싼 분쟁</w:t>
            </w:r>
          </w:p>
        </w:tc>
        <w:tc>
          <w:tcPr>
            <w:tcW w:type="dxa" w:w="46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역할·비용·저작권·홍보 범위를 시작 전에 기록</w:t>
            </w:r>
          </w:p>
        </w:tc>
      </w:tr>
    </w:tbl>
    <w:p>
      <w:pPr>
        <w:widowControl/>
        <w:spacing w:after="160" w:line="355" w:lineRule="auto"/>
      </w:pPr>
    </w:p>
    <w:p>
      <w:pPr>
        <w:pStyle w:val="Heading2"/>
        <w:keepNext/>
      </w:pPr>
      <w:r>
        <w:rPr>
          <w:rFonts w:ascii="Malgun Gothic" w:hAnsi="Malgun Gothic" w:eastAsia="Malgun Gothic"/>
          <w:b/>
          <w:color w:val="000000"/>
          <w:sz w:val="30"/>
        </w:rPr>
        <w:t>정보 확인 상태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rPr>
          <w:tblHeader w:val="true"/>
          <w:cantSplit/>
        </w:trPr>
        <w:tc>
          <w:tcPr>
            <w:tcW w:type="dxa" w:w="1584"/>
            <w:shd w:fill="0F20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b/>
                <w:color w:val="FFFFFF"/>
                <w:sz w:val="22"/>
              </w:rPr>
              <w:t>표시</w:t>
            </w:r>
          </w:p>
        </w:tc>
        <w:tc>
          <w:tcPr>
            <w:tcW w:type="dxa" w:w="3888"/>
            <w:shd w:fill="0F20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b/>
                <w:color w:val="FFFFFF"/>
                <w:sz w:val="22"/>
              </w:rPr>
              <w:t>뜻</w:t>
            </w:r>
          </w:p>
        </w:tc>
        <w:tc>
          <w:tcPr>
            <w:tcW w:type="dxa" w:w="4536"/>
            <w:shd w:fill="0F20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b/>
                <w:color w:val="FFFFFF"/>
                <w:sz w:val="22"/>
              </w:rPr>
              <w:t>사용 기준</w:t>
            </w:r>
          </w:p>
        </w:tc>
      </w:tr>
      <w:tr>
        <w:trPr>
          <w:cantSplit/>
        </w:trPr>
        <w:tc>
          <w:tcPr>
            <w:tcW w:type="dxa" w:w="158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확인 정보</w:t>
            </w:r>
          </w:p>
        </w:tc>
        <w:tc>
          <w:tcPr>
            <w:tcW w:type="dxa" w:w="388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당사자 또는 공식기관이 확인함</w:t>
            </w:r>
          </w:p>
        </w:tc>
        <w:tc>
          <w:tcPr>
            <w:tcW w:type="dxa" w:w="453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공개 페이지와 협력자료에 사용 가능</w:t>
            </w:r>
          </w:p>
        </w:tc>
      </w:tr>
      <w:tr>
        <w:trPr>
          <w:cantSplit/>
        </w:trPr>
        <w:tc>
          <w:tcPr>
            <w:tcW w:type="dxa" w:w="158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참여자 제공</w:t>
            </w:r>
          </w:p>
        </w:tc>
        <w:tc>
          <w:tcPr>
            <w:tcW w:type="dxa" w:w="388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좌담회·단체방·제출자료에서 제공됨</w:t>
            </w:r>
          </w:p>
        </w:tc>
        <w:tc>
          <w:tcPr>
            <w:tcW w:type="dxa" w:w="453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출처를 밝히고 필요 시 추가 확인</w:t>
            </w:r>
          </w:p>
        </w:tc>
      </w:tr>
      <w:tr>
        <w:trPr>
          <w:cantSplit/>
        </w:trPr>
        <w:tc>
          <w:tcPr>
            <w:tcW w:type="dxa" w:w="158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확인 중</w:t>
            </w:r>
          </w:p>
        </w:tc>
        <w:tc>
          <w:tcPr>
            <w:tcW w:type="dxa" w:w="388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소속·직함·사역 세부가 미확정</w:t>
            </w:r>
          </w:p>
        </w:tc>
        <w:tc>
          <w:tcPr>
            <w:tcW w:type="dxa" w:w="453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추정하지 않고 확인 완료 전 제한적으로 표시</w:t>
            </w:r>
          </w:p>
        </w:tc>
      </w:tr>
      <w:tr>
        <w:trPr>
          <w:cantSplit/>
        </w:trPr>
        <w:tc>
          <w:tcPr>
            <w:tcW w:type="dxa" w:w="158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비공개</w:t>
            </w:r>
          </w:p>
        </w:tc>
        <w:tc>
          <w:tcPr>
            <w:tcW w:type="dxa" w:w="388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연락처·체류·상담 등 민감정보</w:t>
            </w:r>
          </w:p>
        </w:tc>
        <w:tc>
          <w:tcPr>
            <w:tcW w:type="dxa" w:w="453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지정 담당자만 접근</w:t>
            </w:r>
          </w:p>
        </w:tc>
      </w:tr>
    </w:tbl>
    <w:p>
      <w:pPr>
        <w:widowControl/>
        <w:spacing w:after="160" w:line="355" w:lineRule="auto"/>
      </w:pPr>
    </w:p>
    <w:p>
      <w:pPr>
        <w:pStyle w:val="Heading2"/>
        <w:keepNext/>
      </w:pPr>
      <w:r>
        <w:rPr>
          <w:rFonts w:ascii="Malgun Gothic" w:hAnsi="Malgun Gothic" w:eastAsia="Malgun Gothic"/>
          <w:b/>
          <w:color w:val="000000"/>
          <w:sz w:val="30"/>
        </w:rPr>
        <w:t>AI 사용 원칙</w:t>
      </w:r>
    </w:p>
    <w:p>
      <w:pPr>
        <w:pStyle w:val="ListBullet"/>
        <w:widowControl/>
        <w:spacing w:after="100" w:line="331" w:lineRule="auto"/>
        <w:ind w:left="317" w:hanging="230"/>
      </w:pPr>
      <w:r>
        <w:rPr>
          <w:rFonts w:ascii="Malgun Gothic" w:hAnsi="Malgun Gothic" w:eastAsia="Malgun Gothic"/>
          <w:color w:val="1F2937"/>
          <w:sz w:val="24"/>
        </w:rPr>
        <w:t>AI는 번역, 회의록 정리, 초안 작성, 검색 보조에 사용합니다.</w:t>
      </w:r>
    </w:p>
    <w:p>
      <w:pPr>
        <w:pStyle w:val="ListBullet"/>
        <w:widowControl/>
        <w:spacing w:after="100" w:line="331" w:lineRule="auto"/>
        <w:ind w:left="317" w:hanging="230"/>
      </w:pPr>
      <w:r>
        <w:rPr>
          <w:rFonts w:ascii="Malgun Gothic" w:hAnsi="Malgun Gothic" w:eastAsia="Malgun Gothic"/>
          <w:color w:val="1F2937"/>
          <w:sz w:val="24"/>
        </w:rPr>
        <w:t>인명·소속·비자·법률·의료·재정 정보는 사람이 공식 근거로 다시 확인합니다.</w:t>
      </w:r>
    </w:p>
    <w:p>
      <w:pPr>
        <w:pStyle w:val="ListBullet"/>
        <w:widowControl/>
        <w:spacing w:after="100" w:line="331" w:lineRule="auto"/>
        <w:ind w:left="317" w:hanging="230"/>
      </w:pPr>
      <w:r>
        <w:rPr>
          <w:rFonts w:ascii="Malgun Gothic" w:hAnsi="Malgun Gothic" w:eastAsia="Malgun Gothic"/>
          <w:color w:val="1F2937"/>
          <w:sz w:val="24"/>
        </w:rPr>
        <w:t>민감한 상담 내용과 신분증·여권 정보는 공개형 AI에 입력하지 않습니다.</w:t>
      </w:r>
    </w:p>
    <w:p>
      <w:pPr>
        <w:pStyle w:val="ListBullet"/>
        <w:widowControl/>
        <w:spacing w:after="100" w:line="331" w:lineRule="auto"/>
        <w:ind w:left="317" w:hanging="230"/>
      </w:pPr>
      <w:r>
        <w:rPr>
          <w:rFonts w:ascii="Malgun Gothic" w:hAnsi="Malgun Gothic" w:eastAsia="Malgun Gothic"/>
          <w:color w:val="1F2937"/>
          <w:sz w:val="24"/>
        </w:rPr>
        <w:t>AI 생성 이미지는 실제 현장 사진과 분명하게 구분합니다.</w:t>
      </w:r>
    </w:p>
    <w:p>
      <w:pPr>
        <w:pStyle w:val="ListBullet"/>
        <w:widowControl/>
        <w:spacing w:after="100" w:line="331" w:lineRule="auto"/>
        <w:ind w:left="317" w:hanging="230"/>
      </w:pPr>
      <w:r>
        <w:rPr>
          <w:rFonts w:ascii="Malgun Gothic" w:hAnsi="Malgun Gothic" w:eastAsia="Malgun Gothic"/>
          <w:color w:val="1F2937"/>
          <w:sz w:val="24"/>
        </w:rPr>
        <w:t>최종 책임자는 AI가 아니라 문서를 승인하고 사역을 실행하는 사람입니다.</w:t>
      </w:r>
    </w:p>
    <w:p>
      <w:pPr>
        <w:widowControl/>
        <w:spacing w:line="355" w:lineRule="auto" w:after="160"/>
      </w:pPr>
      <w:r>
        <w:rPr>
          <w:rFonts w:ascii="Malgun Gothic" w:hAnsi="Malgun Gothic" w:eastAsia="Malgun Gothic"/>
          <w:color w:val="1F2937"/>
          <w:sz w:val="24"/>
        </w:rPr>
        <w:br w:type="page"/>
      </w:r>
    </w:p>
    <w:p>
      <w:pPr>
        <w:pStyle w:val="Heading1"/>
        <w:keepNext/>
      </w:pPr>
      <w:r>
        <w:rPr>
          <w:rFonts w:ascii="Malgun Gothic" w:hAnsi="Malgun Gothic" w:eastAsia="Malgun Gothic"/>
          <w:b/>
          <w:color w:val="000000"/>
          <w:sz w:val="38"/>
        </w:rPr>
        <w:t>9 현장 실행 양식</w:t>
      </w:r>
    </w:p>
    <w:p>
      <w:pPr>
        <w:keepNext/>
        <w:widowControl/>
        <w:spacing w:after="160" w:line="355" w:lineRule="auto"/>
      </w:pPr>
      <w:r>
        <w:rPr>
          <w:rFonts w:ascii="Malgun Gothic" w:hAnsi="Malgun Gothic" w:eastAsia="Malgun Gothic"/>
          <w:color w:val="1F2937"/>
          <w:sz w:val="24"/>
        </w:rPr>
        <w:t>아래 항목은 첫 운영회의와 사례 접수에서 바로 사용할 수 있는 최소 양식입니다. 민감정보는 꼭 필요한 경우에만 별도 보관합니다.</w:t>
      </w:r>
    </w:p>
    <w:p>
      <w:pPr>
        <w:pStyle w:val="Heading2"/>
        <w:keepNext/>
      </w:pPr>
      <w:r>
        <w:rPr>
          <w:rFonts w:ascii="Malgun Gothic" w:hAnsi="Malgun Gothic" w:eastAsia="Malgun Gothic"/>
          <w:b/>
          <w:color w:val="000000"/>
          <w:sz w:val="30"/>
        </w:rPr>
        <w:t>9.1 기관 자원 확인표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97"/>
        <w:gridCol w:w="4997"/>
      </w:tblGrid>
      <w:tr>
        <w:trPr>
          <w:tblHeader w:val="true"/>
          <w:cantSplit/>
        </w:trPr>
        <w:tc>
          <w:tcPr>
            <w:tcW w:type="dxa" w:w="2304"/>
            <w:shd w:fill="0F20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b/>
                <w:color w:val="FFFFFF"/>
                <w:sz w:val="22"/>
              </w:rPr>
              <w:t>항목</w:t>
            </w:r>
          </w:p>
        </w:tc>
        <w:tc>
          <w:tcPr>
            <w:tcW w:type="dxa" w:w="7704"/>
            <w:shd w:fill="0F20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b/>
                <w:color w:val="FFFFFF"/>
                <w:sz w:val="22"/>
              </w:rPr>
              <w:t>기록 내용</w:t>
            </w:r>
          </w:p>
        </w:tc>
      </w:tr>
      <w:tr>
        <w:trPr>
          <w:cantSplit/>
        </w:trPr>
        <w:tc>
          <w:tcPr>
            <w:tcW w:type="dxa" w:w="230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기관과 담당자</w:t>
            </w:r>
          </w:p>
        </w:tc>
        <w:tc>
          <w:tcPr>
            <w:tcW w:type="dxa" w:w="770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기관명  담당자  직함  공개 가능한 연락 방법</w:t>
            </w:r>
          </w:p>
        </w:tc>
      </w:tr>
      <w:tr>
        <w:trPr>
          <w:cantSplit/>
        </w:trPr>
        <w:tc>
          <w:tcPr>
            <w:tcW w:type="dxa" w:w="230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지역과 활동 공간</w:t>
            </w:r>
          </w:p>
        </w:tc>
        <w:tc>
          <w:tcPr>
            <w:tcW w:type="dxa" w:w="770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시·군·구  교회·센터·학교·일터  이동 가능 범위</w:t>
            </w:r>
          </w:p>
        </w:tc>
      </w:tr>
      <w:tr>
        <w:trPr>
          <w:cantSplit/>
        </w:trPr>
        <w:tc>
          <w:tcPr>
            <w:tcW w:type="dxa" w:w="230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주요 대상</w:t>
            </w:r>
          </w:p>
        </w:tc>
        <w:tc>
          <w:tcPr>
            <w:tcW w:type="dxa" w:w="770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근로자  유학생  가족  다음세대  난민  특정 언어권</w:t>
            </w:r>
          </w:p>
        </w:tc>
      </w:tr>
      <w:tr>
        <w:trPr>
          <w:cantSplit/>
        </w:trPr>
        <w:tc>
          <w:tcPr>
            <w:tcW w:type="dxa" w:w="230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전문 분야</w:t>
            </w:r>
          </w:p>
        </w:tc>
        <w:tc>
          <w:tcPr>
            <w:tcW w:type="dxa" w:w="770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예배  양육  통역  한국어  비자  노무  의료  취업  교육</w:t>
            </w:r>
          </w:p>
        </w:tc>
      </w:tr>
      <w:tr>
        <w:trPr>
          <w:cantSplit/>
        </w:trPr>
        <w:tc>
          <w:tcPr>
            <w:tcW w:type="dxa" w:w="230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제공 가능 자원</w:t>
            </w:r>
          </w:p>
        </w:tc>
        <w:tc>
          <w:tcPr>
            <w:tcW w:type="dxa" w:w="770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사람  공간  차량  교재  재정  기술  상담 시간</w:t>
            </w:r>
          </w:p>
        </w:tc>
      </w:tr>
      <w:tr>
        <w:trPr>
          <w:cantSplit/>
        </w:trPr>
        <w:tc>
          <w:tcPr>
            <w:tcW w:type="dxa" w:w="230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현재 필요한 협력</w:t>
            </w:r>
          </w:p>
        </w:tc>
        <w:tc>
          <w:tcPr>
            <w:tcW w:type="dxa" w:w="770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봉사자  통역자  교사  전문가  후원  홍보  장소</w:t>
            </w:r>
          </w:p>
        </w:tc>
      </w:tr>
      <w:tr>
        <w:trPr>
          <w:cantSplit/>
        </w:trPr>
        <w:tc>
          <w:tcPr>
            <w:tcW w:type="dxa" w:w="230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정보 상태</w:t>
            </w:r>
          </w:p>
        </w:tc>
        <w:tc>
          <w:tcPr>
            <w:tcW w:type="dxa" w:w="770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확인 정보  참여자 제공  확인 중  비공개</w:t>
            </w:r>
          </w:p>
        </w:tc>
      </w:tr>
      <w:tr>
        <w:trPr>
          <w:cantSplit/>
        </w:trPr>
        <w:tc>
          <w:tcPr>
            <w:tcW w:type="dxa" w:w="230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최종 확인일</w:t>
            </w:r>
          </w:p>
        </w:tc>
        <w:tc>
          <w:tcPr>
            <w:tcW w:type="dxa" w:w="770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확인한 사람과 날짜  다음 갱신 예정일</w:t>
            </w:r>
          </w:p>
        </w:tc>
      </w:tr>
    </w:tbl>
    <w:p>
      <w:pPr>
        <w:widowControl/>
        <w:spacing w:after="160" w:line="355" w:lineRule="auto"/>
      </w:pPr>
    </w:p>
    <w:p>
      <w:pPr>
        <w:pStyle w:val="Heading2"/>
        <w:keepNext/>
      </w:pPr>
      <w:r>
        <w:rPr>
          <w:rFonts w:ascii="Malgun Gothic" w:hAnsi="Malgun Gothic" w:eastAsia="Malgun Gothic"/>
          <w:b/>
          <w:color w:val="000000"/>
          <w:sz w:val="30"/>
        </w:rPr>
        <w:t>9.2 협력 사례 접수표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97"/>
        <w:gridCol w:w="4997"/>
      </w:tblGrid>
      <w:tr>
        <w:trPr>
          <w:tblHeader w:val="true"/>
          <w:cantSplit/>
        </w:trPr>
        <w:tc>
          <w:tcPr>
            <w:tcW w:type="dxa" w:w="2304"/>
            <w:shd w:fill="0F20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b/>
                <w:color w:val="FFFFFF"/>
                <w:sz w:val="22"/>
              </w:rPr>
              <w:t>항목</w:t>
            </w:r>
          </w:p>
        </w:tc>
        <w:tc>
          <w:tcPr>
            <w:tcW w:type="dxa" w:w="7704"/>
            <w:shd w:fill="0F20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b/>
                <w:color w:val="FFFFFF"/>
                <w:sz w:val="22"/>
              </w:rPr>
              <w:t>기록 내용</w:t>
            </w:r>
          </w:p>
        </w:tc>
      </w:tr>
      <w:tr>
        <w:trPr>
          <w:cantSplit/>
        </w:trPr>
        <w:tc>
          <w:tcPr>
            <w:tcW w:type="dxa" w:w="230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요청 요약</w:t>
            </w:r>
          </w:p>
        </w:tc>
        <w:tc>
          <w:tcPr>
            <w:tcW w:type="dxa" w:w="770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무엇이 필요한지 한 문장으로 기록</w:t>
            </w:r>
          </w:p>
        </w:tc>
      </w:tr>
      <w:tr>
        <w:trPr>
          <w:cantSplit/>
        </w:trPr>
        <w:tc>
          <w:tcPr>
            <w:tcW w:type="dxa" w:w="230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지역·언어</w:t>
            </w:r>
          </w:p>
        </w:tc>
        <w:tc>
          <w:tcPr>
            <w:tcW w:type="dxa" w:w="770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현재 지역  선호 언어  통역 필요 여부</w:t>
            </w:r>
          </w:p>
        </w:tc>
      </w:tr>
      <w:tr>
        <w:trPr>
          <w:cantSplit/>
        </w:trPr>
        <w:tc>
          <w:tcPr>
            <w:tcW w:type="dxa" w:w="230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긴급도</w:t>
            </w:r>
          </w:p>
        </w:tc>
        <w:tc>
          <w:tcPr>
            <w:tcW w:type="dxa" w:w="770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오늘  3일 안  1주 안  장기</w:t>
            </w:r>
          </w:p>
        </w:tc>
      </w:tr>
      <w:tr>
        <w:trPr>
          <w:cantSplit/>
        </w:trPr>
        <w:tc>
          <w:tcPr>
            <w:tcW w:type="dxa" w:w="230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분야</w:t>
            </w:r>
          </w:p>
        </w:tc>
        <w:tc>
          <w:tcPr>
            <w:tcW w:type="dxa" w:w="770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체류  노동  의료  주거  가족  교육  신앙  기타</w:t>
            </w:r>
          </w:p>
        </w:tc>
      </w:tr>
      <w:tr>
        <w:trPr>
          <w:cantSplit/>
        </w:trPr>
        <w:tc>
          <w:tcPr>
            <w:tcW w:type="dxa" w:w="230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당사자 동의</w:t>
            </w:r>
          </w:p>
        </w:tc>
        <w:tc>
          <w:tcPr>
            <w:tcW w:type="dxa" w:w="770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연락과 기관 인계에 동의했는지 확인</w:t>
            </w:r>
          </w:p>
        </w:tc>
      </w:tr>
      <w:tr>
        <w:trPr>
          <w:cantSplit/>
        </w:trPr>
        <w:tc>
          <w:tcPr>
            <w:tcW w:type="dxa" w:w="230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담당자와 기한</w:t>
            </w:r>
          </w:p>
        </w:tc>
        <w:tc>
          <w:tcPr>
            <w:tcW w:type="dxa" w:w="770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누가 언제까지 첫 연락을 할지 기록</w:t>
            </w:r>
          </w:p>
        </w:tc>
      </w:tr>
      <w:tr>
        <w:trPr>
          <w:cantSplit/>
        </w:trPr>
        <w:tc>
          <w:tcPr>
            <w:tcW w:type="dxa" w:w="230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다음 행동</w:t>
            </w:r>
          </w:p>
        </w:tc>
        <w:tc>
          <w:tcPr>
            <w:tcW w:type="dxa" w:w="770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상담  방문  서류 확인  기관 연결  예배·소그룹 안내</w:t>
            </w:r>
          </w:p>
        </w:tc>
      </w:tr>
      <w:tr>
        <w:trPr>
          <w:cantSplit/>
        </w:trPr>
        <w:tc>
          <w:tcPr>
            <w:tcW w:type="dxa" w:w="230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후속 확인</w:t>
            </w:r>
          </w:p>
        </w:tc>
        <w:tc>
          <w:tcPr>
            <w:tcW w:type="dxa" w:w="770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결과  남은 과제  다시 연락할 날짜</w:t>
            </w:r>
          </w:p>
        </w:tc>
      </w:tr>
    </w:tbl>
    <w:p>
      <w:pPr>
        <w:widowControl/>
        <w:spacing w:after="160" w:line="355" w:lineRule="auto"/>
      </w:pPr>
    </w:p>
    <w:p>
      <w:pPr>
        <w:pStyle w:val="Heading2"/>
        <w:keepNext/>
      </w:pPr>
      <w:r>
        <w:rPr>
          <w:rFonts w:ascii="Malgun Gothic" w:hAnsi="Malgun Gothic" w:eastAsia="Malgun Gothic"/>
          <w:b/>
          <w:color w:val="000000"/>
          <w:sz w:val="30"/>
        </w:rPr>
        <w:t>9.3 공동 프로젝트 한 장 계획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97"/>
        <w:gridCol w:w="4997"/>
      </w:tblGrid>
      <w:tr>
        <w:trPr>
          <w:tblHeader w:val="true"/>
          <w:cantSplit/>
        </w:trPr>
        <w:tc>
          <w:tcPr>
            <w:tcW w:type="dxa" w:w="2304"/>
            <w:shd w:fill="0F20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b/>
                <w:color w:val="FFFFFF"/>
                <w:sz w:val="22"/>
              </w:rPr>
              <w:t>질문</w:t>
            </w:r>
          </w:p>
        </w:tc>
        <w:tc>
          <w:tcPr>
            <w:tcW w:type="dxa" w:w="7704"/>
            <w:shd w:fill="0F20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b/>
                <w:color w:val="FFFFFF"/>
                <w:sz w:val="22"/>
              </w:rPr>
              <w:t>작성 내용</w:t>
            </w:r>
          </w:p>
        </w:tc>
      </w:tr>
      <w:tr>
        <w:trPr>
          <w:cantSplit/>
        </w:trPr>
        <w:tc>
          <w:tcPr>
            <w:tcW w:type="dxa" w:w="230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왜 하는가</w:t>
            </w:r>
          </w:p>
        </w:tc>
        <w:tc>
          <w:tcPr>
            <w:tcW w:type="dxa" w:w="770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현장의 어떤 문제를 해결하려는가</w:t>
            </w:r>
          </w:p>
        </w:tc>
      </w:tr>
      <w:tr>
        <w:trPr>
          <w:cantSplit/>
        </w:trPr>
        <w:tc>
          <w:tcPr>
            <w:tcW w:type="dxa" w:w="230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누구를 위한가</w:t>
            </w:r>
          </w:p>
        </w:tc>
        <w:tc>
          <w:tcPr>
            <w:tcW w:type="dxa" w:w="770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대상과 실제 필요는 무엇인가</w:t>
            </w:r>
          </w:p>
        </w:tc>
      </w:tr>
      <w:tr>
        <w:trPr>
          <w:cantSplit/>
        </w:trPr>
        <w:tc>
          <w:tcPr>
            <w:tcW w:type="dxa" w:w="230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누가 맡는가</w:t>
            </w:r>
          </w:p>
        </w:tc>
        <w:tc>
          <w:tcPr>
            <w:tcW w:type="dxa" w:w="770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총괄  현장  전문지원  기록 담당은 누구인가</w:t>
            </w:r>
          </w:p>
        </w:tc>
      </w:tr>
      <w:tr>
        <w:trPr>
          <w:cantSplit/>
        </w:trPr>
        <w:tc>
          <w:tcPr>
            <w:tcW w:type="dxa" w:w="230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무엇을 하는가</w:t>
            </w:r>
          </w:p>
        </w:tc>
        <w:tc>
          <w:tcPr>
            <w:tcW w:type="dxa" w:w="770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한 문장으로 설명할 수 있는 활동은 무엇인가</w:t>
            </w:r>
          </w:p>
        </w:tc>
      </w:tr>
      <w:tr>
        <w:trPr>
          <w:cantSplit/>
        </w:trPr>
        <w:tc>
          <w:tcPr>
            <w:tcW w:type="dxa" w:w="230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언제 어디서 하는가</w:t>
            </w:r>
          </w:p>
        </w:tc>
        <w:tc>
          <w:tcPr>
            <w:tcW w:type="dxa" w:w="770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시작일  종료일  장소  온라인 여부</w:t>
            </w:r>
          </w:p>
        </w:tc>
      </w:tr>
      <w:tr>
        <w:trPr>
          <w:cantSplit/>
        </w:trPr>
        <w:tc>
          <w:tcPr>
            <w:tcW w:type="dxa" w:w="230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어떻게 평가하는가</w:t>
            </w:r>
          </w:p>
        </w:tc>
        <w:tc>
          <w:tcPr>
            <w:tcW w:type="dxa" w:w="770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3F6F9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숫자와 변화 사례를 무엇으로 확인할 것인가</w:t>
            </w:r>
          </w:p>
        </w:tc>
      </w:tr>
      <w:tr>
        <w:trPr>
          <w:cantSplit/>
        </w:trPr>
        <w:tc>
          <w:tcPr>
            <w:tcW w:type="dxa" w:w="230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  <w:jc w:val="center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무엇을 남기는가</w:t>
            </w:r>
          </w:p>
        </w:tc>
        <w:tc>
          <w:tcPr>
            <w:tcW w:type="dxa" w:w="770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5" w:type="dxa"/>
              <w:start w:w="135" w:type="dxa"/>
              <w:bottom w:w="125" w:type="dxa"/>
              <w:end w:w="135" w:type="dxa"/>
            </w:tcMar>
            <w:vAlign w:val="center"/>
            <w:shd w:fill="FFFFFF"/>
          </w:tcPr>
          <w:p>
            <w:pPr>
              <w:widowControl/>
              <w:spacing w:line="300" w:lineRule="auto" w:after="0"/>
            </w:pPr>
            <w:r>
              <w:rPr>
                <w:rFonts w:ascii="Malgun Gothic" w:hAnsi="Malgun Gothic" w:eastAsia="Malgun Gothic"/>
                <w:color w:val="1F2937"/>
                <w:sz w:val="22"/>
              </w:rPr>
              <w:t>자료  기록  다음 단계  재사용 가능한 모델</w:t>
            </w:r>
          </w:p>
        </w:tc>
      </w:tr>
    </w:tbl>
    <w:p>
      <w:pPr>
        <w:widowControl/>
        <w:spacing w:after="160" w:line="355" w:lineRule="auto"/>
      </w:pPr>
    </w:p>
    <w:p>
      <w:pPr>
        <w:widowControl/>
        <w:spacing w:line="355" w:lineRule="auto" w:after="160"/>
      </w:pPr>
      <w:r>
        <w:rPr>
          <w:rFonts w:ascii="Malgun Gothic" w:hAnsi="Malgun Gothic" w:eastAsia="Malgun Gothic"/>
          <w:color w:val="1F2937"/>
          <w:sz w:val="24"/>
        </w:rPr>
        <w:br w:type="page"/>
      </w:r>
    </w:p>
    <w:p>
      <w:pPr>
        <w:pStyle w:val="Heading1"/>
        <w:keepNext/>
      </w:pPr>
      <w:r>
        <w:rPr>
          <w:rFonts w:ascii="Malgun Gothic" w:hAnsi="Malgun Gothic" w:eastAsia="Malgun Gothic"/>
          <w:b/>
          <w:color w:val="000000"/>
          <w:sz w:val="38"/>
        </w:rPr>
        <w:t>10 결론과 선교적 선언</w:t>
      </w:r>
    </w:p>
    <w:p>
      <w:pPr>
        <w:keepNext/>
        <w:widowControl/>
        <w:spacing w:after="160" w:line="355" w:lineRule="auto"/>
      </w:pPr>
      <w:r>
        <w:rPr>
          <w:rFonts w:ascii="Malgun Gothic" w:hAnsi="Malgun Gothic" w:eastAsia="Malgun Gothic"/>
          <w:color w:val="1F2937"/>
          <w:sz w:val="24"/>
        </w:rPr>
        <w:t>이주민 선교의 위기는 사람이 부족해서만 생기는 것이 아닙니다. 이미 하나님께서 여러 교회와 일터, 학교와 센터, 목회자와 선교사, 기업인과 전문가에게 은사와 자원을 나누어 주셨지만 서로를 충분히 발견하지 못하고 있습니다.</w:t>
      </w:r>
    </w:p>
    <w:p>
      <w:pPr>
        <w:widowControl/>
        <w:spacing w:line="355" w:lineRule="auto" w:after="160"/>
      </w:pPr>
      <w:r>
        <w:rPr>
          <w:rFonts w:ascii="Malgun Gothic" w:hAnsi="Malgun Gothic" w:eastAsia="Malgun Gothic"/>
          <w:color w:val="1F2937"/>
          <w:sz w:val="24"/>
        </w:rPr>
        <w:t>엘림G브릿지의 사명은 새로운 중앙조직을 만드는 데 있지 않습니다. 현장의 목소리를 듣고, 필요한 사람과 준비된 자원을 연결하고, 그 과정이 다음 사역에도 사용되도록 기록하는 데 있습니다. 연결은 사역의 주변 업무가 아니라 많은 지체를 한 몸으로 움직이게 하는 선교의 본질적 기능입니다.</w:t>
      </w:r>
    </w:p>
    <w:p>
      <w:pPr>
        <w:pStyle w:val="Heading2"/>
        <w:keepNext/>
      </w:pPr>
      <w:r>
        <w:rPr>
          <w:rFonts w:ascii="Malgun Gothic" w:hAnsi="Malgun Gothic" w:eastAsia="Malgun Gothic"/>
          <w:b/>
          <w:color w:val="000000"/>
          <w:sz w:val="30"/>
        </w:rPr>
        <w:t>성경적 근거</w:t>
      </w:r>
    </w:p>
    <w:p>
      <w:pPr>
        <w:pStyle w:val="ListBullet"/>
        <w:widowControl/>
        <w:spacing w:after="100" w:line="331" w:lineRule="auto"/>
        <w:ind w:left="317" w:hanging="230"/>
      </w:pPr>
      <w:r>
        <w:rPr>
          <w:rFonts w:ascii="Malgun Gothic" w:hAnsi="Malgun Gothic" w:eastAsia="Malgun Gothic"/>
          <w:b/>
          <w:color w:val="1F2937"/>
          <w:sz w:val="24"/>
        </w:rPr>
        <w:t xml:space="preserve">고린도전서 12장 12절  </w:t>
      </w:r>
      <w:r>
        <w:rPr>
          <w:rFonts w:ascii="Malgun Gothic" w:hAnsi="Malgun Gothic" w:eastAsia="Malgun Gothic"/>
          <w:color w:val="1F2937"/>
          <w:sz w:val="24"/>
        </w:rPr>
        <w:t>많은 지체가 있으나 한 몸입니다. 연합은 동일하게 만드는 것이 아니라 서로 다른 은사를 한 목적 아래 연결하는 일입니다.</w:t>
      </w:r>
    </w:p>
    <w:p>
      <w:pPr>
        <w:pStyle w:val="ListBullet"/>
        <w:widowControl/>
        <w:spacing w:after="100" w:line="331" w:lineRule="auto"/>
        <w:ind w:left="317" w:hanging="230"/>
      </w:pPr>
      <w:r>
        <w:rPr>
          <w:rFonts w:ascii="Malgun Gothic" w:hAnsi="Malgun Gothic" w:eastAsia="Malgun Gothic"/>
          <w:b/>
          <w:color w:val="1F2937"/>
          <w:sz w:val="24"/>
        </w:rPr>
        <w:t xml:space="preserve">에베소서 4장 16절  </w:t>
      </w:r>
      <w:r>
        <w:rPr>
          <w:rFonts w:ascii="Malgun Gothic" w:hAnsi="Malgun Gothic" w:eastAsia="Malgun Gothic"/>
          <w:color w:val="1F2937"/>
          <w:sz w:val="24"/>
        </w:rPr>
        <w:t>각 마디를 통하여 도움을 받음으로 몸이 자랍니다. 연결의 마디가 건강할 때 현장의 수고가 공동체의 성장으로 이어집니다.</w:t>
      </w:r>
    </w:p>
    <w:p>
      <w:pPr>
        <w:pStyle w:val="ListBullet"/>
        <w:widowControl/>
        <w:spacing w:after="100" w:line="331" w:lineRule="auto"/>
        <w:ind w:left="317" w:hanging="230"/>
      </w:pPr>
      <w:r>
        <w:rPr>
          <w:rFonts w:ascii="Malgun Gothic" w:hAnsi="Malgun Gothic" w:eastAsia="Malgun Gothic"/>
          <w:b/>
          <w:color w:val="1F2937"/>
          <w:sz w:val="24"/>
        </w:rPr>
        <w:t xml:space="preserve">시편 23편 5절  </w:t>
      </w:r>
      <w:r>
        <w:rPr>
          <w:rFonts w:ascii="Malgun Gothic" w:hAnsi="Malgun Gothic" w:eastAsia="Malgun Gothic"/>
          <w:color w:val="1F2937"/>
          <w:sz w:val="24"/>
        </w:rPr>
        <w:t>주께서 기름을 바르시는 돌봄처럼, 연합은 지친 사역자를 먼저 회복시키고 다시 사명의 자리로 보냅니다.</w:t>
      </w:r>
    </w:p>
    <w:p>
      <w:pPr>
        <w:pStyle w:val="ListBullet"/>
        <w:widowControl/>
        <w:spacing w:after="100" w:line="331" w:lineRule="auto"/>
        <w:ind w:left="317" w:hanging="230"/>
      </w:pPr>
      <w:r>
        <w:rPr>
          <w:rFonts w:ascii="Malgun Gothic" w:hAnsi="Malgun Gothic" w:eastAsia="Malgun Gothic"/>
          <w:b/>
          <w:color w:val="1F2937"/>
          <w:sz w:val="24"/>
        </w:rPr>
        <w:t xml:space="preserve">레위기 19장 34절  </w:t>
      </w:r>
      <w:r>
        <w:rPr>
          <w:rFonts w:ascii="Malgun Gothic" w:hAnsi="Malgun Gothic" w:eastAsia="Malgun Gothic"/>
          <w:color w:val="1F2937"/>
          <w:sz w:val="24"/>
        </w:rPr>
        <w:t>거류민을 본토인처럼 여기고 사랑하라는 말씀은 이주민 선교가 선택적 프로그램이 아니라 하나님 백성의 삶임을 보여 줍니다.</w:t>
      </w:r>
    </w:p>
    <w:p>
      <w:pPr>
        <w:pStyle w:val="ListBullet"/>
        <w:widowControl/>
        <w:spacing w:after="100" w:line="331" w:lineRule="auto"/>
        <w:ind w:left="317" w:hanging="230"/>
      </w:pPr>
      <w:r>
        <w:rPr>
          <w:rFonts w:ascii="Malgun Gothic" w:hAnsi="Malgun Gothic" w:eastAsia="Malgun Gothic"/>
          <w:b/>
          <w:color w:val="1F2937"/>
          <w:sz w:val="24"/>
        </w:rPr>
        <w:t xml:space="preserve">사도행전 2장 5절부터 11절  </w:t>
      </w:r>
      <w:r>
        <w:rPr>
          <w:rFonts w:ascii="Malgun Gothic" w:hAnsi="Malgun Gothic" w:eastAsia="Malgun Gothic"/>
          <w:color w:val="1F2937"/>
          <w:sz w:val="24"/>
        </w:rPr>
        <w:t>성령께서는 여러 언어를 지우지 않고 각 사람의 언어로 하나님의 큰일을 듣게 하셨습니다. 다언어·다문화 공동체는 복음의 장애물이 아니라 성령의 선교 무대입니다.</w:t>
      </w:r>
    </w:p>
    <w:p>
      <w:pPr>
        <w:pStyle w:val="Heading2"/>
        <w:keepNext/>
      </w:pPr>
      <w:r>
        <w:rPr>
          <w:rFonts w:ascii="Malgun Gothic" w:hAnsi="Malgun Gothic" w:eastAsia="Malgun Gothic"/>
          <w:b/>
          <w:color w:val="000000"/>
          <w:sz w:val="30"/>
        </w:rPr>
        <w:t>공동 실천 선언</w:t>
      </w:r>
    </w:p>
    <w:p>
      <w:pPr>
        <w:pStyle w:val="ListNumber"/>
        <w:widowControl/>
        <w:spacing w:after="100" w:line="331" w:lineRule="auto"/>
      </w:pPr>
      <w:r>
        <w:rPr>
          <w:rFonts w:ascii="Malgun Gothic" w:hAnsi="Malgun Gothic" w:eastAsia="Malgun Gothic"/>
          <w:color w:val="1F2937"/>
          <w:sz w:val="24"/>
        </w:rPr>
        <w:t>우리는 사역자의 외로운 수고를 방치하지 않고 서로 돌보겠습니다.</w:t>
      </w:r>
    </w:p>
    <w:p>
      <w:pPr>
        <w:pStyle w:val="ListNumber"/>
        <w:widowControl/>
        <w:spacing w:after="100" w:line="331" w:lineRule="auto"/>
      </w:pPr>
      <w:r>
        <w:rPr>
          <w:rFonts w:ascii="Malgun Gothic" w:hAnsi="Malgun Gothic" w:eastAsia="Malgun Gothic"/>
          <w:color w:val="1F2937"/>
          <w:sz w:val="24"/>
        </w:rPr>
        <w:t>우리는 이주민을 도움의 대상이 아니라 하나님 나라의 동역자로 존중하겠습니다.</w:t>
      </w:r>
    </w:p>
    <w:p>
      <w:pPr>
        <w:pStyle w:val="ListNumber"/>
        <w:widowControl/>
        <w:spacing w:after="100" w:line="331" w:lineRule="auto"/>
      </w:pPr>
      <w:r>
        <w:rPr>
          <w:rFonts w:ascii="Malgun Gothic" w:hAnsi="Malgun Gothic" w:eastAsia="Malgun Gothic"/>
          <w:color w:val="1F2937"/>
          <w:sz w:val="24"/>
        </w:rPr>
        <w:t>우리는 확인된 정보와 전문성을 연결하여 불필요한 시행착오를 줄이겠습니다.</w:t>
      </w:r>
    </w:p>
    <w:p>
      <w:pPr>
        <w:pStyle w:val="ListNumber"/>
        <w:widowControl/>
        <w:spacing w:after="100" w:line="331" w:lineRule="auto"/>
      </w:pPr>
      <w:r>
        <w:rPr>
          <w:rFonts w:ascii="Malgun Gothic" w:hAnsi="Malgun Gothic" w:eastAsia="Malgun Gothic"/>
          <w:color w:val="1F2937"/>
          <w:sz w:val="24"/>
        </w:rPr>
        <w:t>우리는 AI와 디지털 기술을 사람을 살리고 관계를 깊게 하는 도구로 사용하겠습니다.</w:t>
      </w:r>
    </w:p>
    <w:p>
      <w:pPr>
        <w:pStyle w:val="ListNumber"/>
        <w:widowControl/>
        <w:spacing w:after="100" w:line="331" w:lineRule="auto"/>
      </w:pPr>
      <w:r>
        <w:rPr>
          <w:rFonts w:ascii="Malgun Gothic" w:hAnsi="Malgun Gothic" w:eastAsia="Malgun Gothic"/>
          <w:color w:val="1F2937"/>
          <w:sz w:val="24"/>
        </w:rPr>
        <w:t>우리는 작은 협력의 결과를 기록하고 나누어 다음 세대의 길이 되게 하겠습니다.</w:t>
      </w:r>
    </w:p>
    <w:p>
      <w:pPr>
        <w:widowControl/>
        <w:spacing w:before="360" w:line="355" w:lineRule="auto" w:after="160"/>
        <w:jc w:val="center"/>
      </w:pPr>
      <w:r>
        <w:rPr>
          <w:rFonts w:ascii="Malgun Gothic" w:hAnsi="Malgun Gothic" w:eastAsia="Malgun Gothic"/>
          <w:b/>
          <w:color w:val="1F2937"/>
          <w:sz w:val="24"/>
        </w:rPr>
        <w:t>좋은 만남이 좋은 연결이 되고</w:t>
        <w:br/>
        <w:t>좋은 연결이 좋은 연합을 이루며</w:t>
        <w:br/>
        <w:t>좋은 연합이 하나님 나라의 좋은 시너지를 만듭니다</w:t>
      </w:r>
    </w:p>
    <w:p>
      <w:pPr>
        <w:widowControl/>
        <w:spacing w:line="355" w:lineRule="auto" w:after="160"/>
        <w:jc w:val="center"/>
      </w:pPr>
      <w:r>
        <w:rPr>
          <w:rFonts w:ascii="Malgun Gothic" w:hAnsi="Malgun Gothic" w:eastAsia="Malgun Gothic"/>
          <w:color w:val="1F2937"/>
          <w:sz w:val="24"/>
        </w:rPr>
        <w:t>제안  엘림G브릿지   |   문의  한진준 목사  010 2083 3106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23" w:bottom="1037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algun Gothic" w:hAnsi="Malgun Gothic" w:eastAsia="Malgun Gothic"/>
        <w:color w:val="586371"/>
        <w:sz w:val="17"/>
      </w:rPr>
      <w:t xml:space="preserve">엘림G선교회 · 좋은 만남 좋은 연결 좋은 연합 좋은 시너지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Small"/>
      <w:jc w:val="right"/>
    </w:pPr>
    <w:r>
      <w:rPr>
        <w:rFonts w:ascii="Malgun Gothic" w:hAnsi="Malgun Gothic" w:eastAsia="Malgun Gothic"/>
        <w:color w:val="586371"/>
        <w:sz w:val="17"/>
      </w:rPr>
      <w:t>이주민 선교사 좌담회 전략보고서  |  엘림G브릿지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55" w:lineRule="auto" w:after="160"/>
    </w:pPr>
    <w:rPr>
      <w:rFonts w:ascii="Malgun Gothic" w:hAnsi="Malgun Gothic" w:eastAsia="Malgun Gothic"/>
      <w:color w:val="1F2937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Malgun Gothic" w:hAnsi="Malgun Gothic" w:eastAsia="Malgun Gothic"/>
      <w:b/>
      <w:bCs/>
      <w:color w:val="000000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Malgun Gothic" w:hAnsi="Malgun Gothic" w:eastAsia="Malgun Gothic"/>
      <w:b/>
      <w:bCs/>
      <w:color w:val="000000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Malgun Gothic" w:hAnsi="Malgun Gothic" w:eastAsia="Malgun Gothic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300" w:line="240" w:lineRule="auto" w:before="0"/>
      <w:contextualSpacing/>
    </w:pPr>
    <w:rPr>
      <w:rFonts w:asciiTheme="majorHAnsi" w:eastAsiaTheme="majorEastAsia" w:hAnsiTheme="majorHAnsi" w:cstheme="majorBidi" w:ascii="Malgun Gothic" w:hAnsi="Malgun Gothic" w:eastAsia="Malgun Gothic"/>
      <w:b/>
      <w:color w:val="000000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331" w:lineRule="auto" w:after="100"/>
      <w:contextualSpacing/>
    </w:pPr>
    <w:rPr>
      <w:rFonts w:ascii="Malgun Gothic" w:hAnsi="Malgun Gothic" w:eastAsia="Malgun Gothic"/>
      <w:color w:val="1F2937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line="331" w:lineRule="auto" w:after="100"/>
      <w:contextualSpacing/>
    </w:pPr>
    <w:rPr>
      <w:rFonts w:ascii="Malgun Gothic" w:hAnsi="Malgun Gothic" w:eastAsia="Malgun Gothic"/>
      <w:color w:val="1F2937"/>
      <w:sz w:val="24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331" w:lineRule="auto" w:after="100"/>
      <w:contextualSpacing/>
    </w:pPr>
    <w:rPr>
      <w:rFonts w:ascii="Malgun Gothic" w:hAnsi="Malgun Gothic" w:eastAsia="Malgun Gothic"/>
      <w:color w:val="1F2937"/>
      <w:sz w:val="24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aptionSmall">
    <w:name w:val="Caption Small"/>
    <w:pPr>
      <w:spacing w:after="100"/>
    </w:pPr>
    <w:rPr>
      <w:rFonts w:ascii="Malgun Gothic" w:hAnsi="Malgun Gothic" w:eastAsia="Malgun Gothic"/>
      <w:color w:val="5A6471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이주민 선교의 문제와 방향 및 실행 대안</dc:title>
  <dc:subject>가독성 강화 개정판</dc:subject>
  <dc:creator>한진준 목사 엘림G브릿지</dc:creator>
  <cp:keywords/>
  <dc:description>본문 기본 12포인트와 표·문단 가독성을 개선한 개정본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